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EB" w:rsidRPr="00F1255D" w:rsidRDefault="001A49D4" w:rsidP="00551E63">
      <w:pPr>
        <w:pStyle w:val="Heading5"/>
        <w:spacing w:line="360" w:lineRule="auto"/>
        <w:rPr>
          <w:rFonts w:asciiTheme="minorHAnsi" w:hAnsiTheme="minorHAnsi"/>
          <w:i/>
          <w:sz w:val="24"/>
          <w:szCs w:val="24"/>
        </w:rPr>
      </w:pPr>
      <w:r>
        <w:rPr>
          <w:rStyle w:val="BookTitle"/>
          <w:rFonts w:asciiTheme="minorHAnsi" w:hAnsiTheme="minorHAnsi"/>
          <w:sz w:val="24"/>
          <w:szCs w:val="24"/>
        </w:rPr>
        <w:t>Developing</w:t>
      </w:r>
      <w:r w:rsidR="00291E36" w:rsidRPr="00F1255D">
        <w:rPr>
          <w:rStyle w:val="BookTitle"/>
          <w:rFonts w:asciiTheme="minorHAnsi" w:hAnsiTheme="minorHAnsi"/>
          <w:sz w:val="24"/>
          <w:szCs w:val="24"/>
        </w:rPr>
        <w:t xml:space="preserve"> Graduate Attributes</w:t>
      </w:r>
    </w:p>
    <w:p w:rsidR="00BF18EB" w:rsidRPr="003933F9" w:rsidRDefault="001A49D4" w:rsidP="00551E63">
      <w:pPr>
        <w:pStyle w:val="Title"/>
        <w:spacing w:line="360" w:lineRule="auto"/>
      </w:pPr>
      <w:r>
        <w:t>Developing</w:t>
      </w:r>
      <w:r w:rsidR="00342CCF">
        <w:t xml:space="preserve"> the Ability to Generate Ideas</w:t>
      </w:r>
    </w:p>
    <w:p w:rsidR="00BF18EB" w:rsidRPr="00AA1297" w:rsidRDefault="005B522B" w:rsidP="00AA1297">
      <w:pPr>
        <w:pStyle w:val="Heading4"/>
        <w:shd w:val="clear" w:color="auto" w:fill="CCCCCC"/>
        <w:spacing w:before="0" w:line="360" w:lineRule="auto"/>
        <w:rPr>
          <w:rFonts w:asciiTheme="minorHAnsi" w:hAnsiTheme="minorHAnsi"/>
          <w:i w:val="0"/>
          <w:sz w:val="26"/>
          <w:szCs w:val="26"/>
        </w:rPr>
      </w:pPr>
      <w:r w:rsidRPr="00AA1297">
        <w:rPr>
          <w:rFonts w:asciiTheme="minorHAnsi" w:hAnsiTheme="minorHAnsi"/>
          <w:i w:val="0"/>
          <w:sz w:val="26"/>
          <w:szCs w:val="26"/>
        </w:rPr>
        <w:t>What</w:t>
      </w:r>
      <w:r w:rsidR="00291E36" w:rsidRPr="00AA1297">
        <w:rPr>
          <w:rFonts w:asciiTheme="minorHAnsi" w:hAnsiTheme="minorHAnsi"/>
          <w:i w:val="0"/>
          <w:sz w:val="26"/>
          <w:szCs w:val="26"/>
        </w:rPr>
        <w:t xml:space="preserve"> are graduate attributes?</w:t>
      </w:r>
      <w:r w:rsidR="00B6400C" w:rsidRPr="00AA1297">
        <w:rPr>
          <w:rFonts w:asciiTheme="minorHAnsi" w:hAnsiTheme="minorHAnsi"/>
          <w:i w:val="0"/>
          <w:sz w:val="26"/>
          <w:szCs w:val="26"/>
        </w:rPr>
        <w:tab/>
      </w:r>
    </w:p>
    <w:p w:rsidR="001A49D4" w:rsidRPr="00551E63" w:rsidRDefault="001A49D4" w:rsidP="001A49D4">
      <w:pPr>
        <w:spacing w:after="0" w:line="360" w:lineRule="auto"/>
        <w:rPr>
          <w:sz w:val="24"/>
          <w:szCs w:val="24"/>
        </w:rPr>
      </w:pPr>
      <w:r w:rsidRPr="00551E63">
        <w:rPr>
          <w:sz w:val="24"/>
          <w:szCs w:val="24"/>
        </w:rPr>
        <w:t xml:space="preserve">Graduate </w:t>
      </w:r>
      <w:r>
        <w:rPr>
          <w:sz w:val="24"/>
          <w:szCs w:val="24"/>
        </w:rPr>
        <w:t>a</w:t>
      </w:r>
      <w:r w:rsidRPr="00551E63">
        <w:rPr>
          <w:sz w:val="24"/>
          <w:szCs w:val="24"/>
        </w:rPr>
        <w:t xml:space="preserve">ttributes are </w:t>
      </w:r>
      <w:r w:rsidRPr="00925DCF">
        <w:rPr>
          <w:sz w:val="24"/>
          <w:szCs w:val="24"/>
        </w:rPr>
        <w:t xml:space="preserve">the characteristics, qualities, skills and capabilities that </w:t>
      </w:r>
      <w:r>
        <w:rPr>
          <w:sz w:val="24"/>
          <w:szCs w:val="24"/>
        </w:rPr>
        <w:t>we</w:t>
      </w:r>
      <w:r w:rsidRPr="00925DCF">
        <w:rPr>
          <w:sz w:val="24"/>
          <w:szCs w:val="24"/>
        </w:rPr>
        <w:t xml:space="preserve"> seek to develop in </w:t>
      </w:r>
      <w:r>
        <w:rPr>
          <w:sz w:val="24"/>
          <w:szCs w:val="24"/>
        </w:rPr>
        <w:t>ou</w:t>
      </w:r>
      <w:r w:rsidRPr="00925DCF">
        <w:rPr>
          <w:sz w:val="24"/>
          <w:szCs w:val="24"/>
        </w:rPr>
        <w:t>r students by the time they graduate</w:t>
      </w:r>
      <w:r w:rsidRPr="00551E63">
        <w:rPr>
          <w:sz w:val="24"/>
          <w:szCs w:val="24"/>
        </w:rPr>
        <w:t>. These</w:t>
      </w:r>
      <w:bookmarkStart w:id="0" w:name="_GoBack"/>
      <w:bookmarkEnd w:id="0"/>
      <w:r w:rsidRPr="00551E63">
        <w:rPr>
          <w:sz w:val="24"/>
          <w:szCs w:val="24"/>
        </w:rPr>
        <w:t xml:space="preserve"> attributes give ECU</w:t>
      </w:r>
      <w:r>
        <w:rPr>
          <w:sz w:val="24"/>
          <w:szCs w:val="24"/>
        </w:rPr>
        <w:t xml:space="preserve"> </w:t>
      </w:r>
      <w:r w:rsidRPr="00551E63">
        <w:rPr>
          <w:sz w:val="24"/>
          <w:szCs w:val="24"/>
        </w:rPr>
        <w:t xml:space="preserve">graduates a competitive advantage in the workplace and are desired ‘Employability’ skills. ECU’s graduate attributes are </w:t>
      </w:r>
      <w:r>
        <w:rPr>
          <w:sz w:val="24"/>
          <w:szCs w:val="24"/>
        </w:rPr>
        <w:t>developed</w:t>
      </w:r>
      <w:r w:rsidRPr="00551E63">
        <w:rPr>
          <w:sz w:val="24"/>
          <w:szCs w:val="24"/>
        </w:rPr>
        <w:t xml:space="preserve"> within the context of </w:t>
      </w:r>
      <w:r>
        <w:rPr>
          <w:sz w:val="24"/>
          <w:szCs w:val="24"/>
        </w:rPr>
        <w:t>units in a course</w:t>
      </w:r>
      <w:r w:rsidRPr="00551E63">
        <w:rPr>
          <w:sz w:val="24"/>
          <w:szCs w:val="24"/>
        </w:rPr>
        <w:t xml:space="preserve">. </w:t>
      </w:r>
    </w:p>
    <w:p w:rsidR="00D31E73" w:rsidRPr="00105296" w:rsidRDefault="00D31E73" w:rsidP="00D31E73">
      <w:pPr>
        <w:widowControl w:val="0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D31E73" w:rsidRDefault="00D31E73" w:rsidP="00D31E73">
      <w:pPr>
        <w:pStyle w:val="Heading4"/>
        <w:shd w:val="clear" w:color="auto" w:fill="CCCCCC"/>
        <w:spacing w:before="0" w:line="360" w:lineRule="auto"/>
        <w:rPr>
          <w:rFonts w:asciiTheme="minorHAnsi" w:hAnsiTheme="minorHAnsi"/>
          <w:i w:val="0"/>
          <w:sz w:val="26"/>
          <w:szCs w:val="26"/>
        </w:rPr>
      </w:pPr>
      <w:r w:rsidRPr="0035490C">
        <w:rPr>
          <w:rFonts w:asciiTheme="minorHAnsi" w:hAnsiTheme="minorHAnsi"/>
          <w:i w:val="0"/>
          <w:sz w:val="26"/>
          <w:szCs w:val="26"/>
        </w:rPr>
        <w:t xml:space="preserve">ECU’s Graduate Attributes: </w:t>
      </w:r>
    </w:p>
    <w:p w:rsidR="00D31E73" w:rsidRPr="005C7E36" w:rsidRDefault="00D31E73" w:rsidP="00D31E73">
      <w:pPr>
        <w:pStyle w:val="Heading9"/>
        <w:rPr>
          <w:rFonts w:asciiTheme="minorHAnsi" w:hAnsiTheme="minorHAnsi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379"/>
      </w:tblGrid>
      <w:tr w:rsidR="00D31E73" w:rsidRPr="0005178D" w:rsidTr="00B6400C">
        <w:trPr>
          <w:trHeight w:val="139"/>
        </w:trPr>
        <w:tc>
          <w:tcPr>
            <w:tcW w:w="3686" w:type="dxa"/>
          </w:tcPr>
          <w:p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b/>
                <w:bCs/>
                <w:color w:val="000000"/>
                <w:sz w:val="24"/>
                <w:szCs w:val="24"/>
              </w:rPr>
              <w:t>ECU Graduates will be valued for their</w:t>
            </w:r>
          </w:p>
        </w:tc>
        <w:tc>
          <w:tcPr>
            <w:tcW w:w="6379" w:type="dxa"/>
          </w:tcPr>
          <w:p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Exemplified by </w:t>
            </w:r>
          </w:p>
        </w:tc>
      </w:tr>
      <w:tr w:rsidR="00D31E73" w:rsidRPr="0005178D" w:rsidTr="00B6400C">
        <w:trPr>
          <w:trHeight w:val="395"/>
        </w:trPr>
        <w:tc>
          <w:tcPr>
            <w:tcW w:w="3686" w:type="dxa"/>
          </w:tcPr>
          <w:p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Ability to communicate </w:t>
            </w:r>
          </w:p>
        </w:tc>
        <w:tc>
          <w:tcPr>
            <w:tcW w:w="6379" w:type="dxa"/>
          </w:tcPr>
          <w:p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clarity of written and spoken expression, including in public fora, and through appropriate use of technology </w:t>
            </w:r>
          </w:p>
          <w:p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31E73" w:rsidRPr="0005178D" w:rsidTr="00B6400C">
        <w:trPr>
          <w:trHeight w:val="260"/>
        </w:trPr>
        <w:tc>
          <w:tcPr>
            <w:tcW w:w="3686" w:type="dxa"/>
          </w:tcPr>
          <w:p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Ability to work in teams </w:t>
            </w:r>
          </w:p>
        </w:tc>
        <w:tc>
          <w:tcPr>
            <w:tcW w:w="6379" w:type="dxa"/>
          </w:tcPr>
          <w:p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collaborating and contributing effectively in diverse settings </w:t>
            </w:r>
          </w:p>
          <w:p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31E73" w:rsidRPr="0005178D" w:rsidTr="00B6400C">
        <w:trPr>
          <w:trHeight w:val="260"/>
        </w:trPr>
        <w:tc>
          <w:tcPr>
            <w:tcW w:w="3686" w:type="dxa"/>
          </w:tcPr>
          <w:p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Critical appraisal skills </w:t>
            </w:r>
          </w:p>
        </w:tc>
        <w:tc>
          <w:tcPr>
            <w:tcW w:w="6379" w:type="dxa"/>
          </w:tcPr>
          <w:p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planning, organising, problem solving and decision making </w:t>
            </w:r>
          </w:p>
          <w:p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31E73" w:rsidRPr="0005178D" w:rsidTr="00B6400C">
        <w:trPr>
          <w:trHeight w:val="260"/>
        </w:trPr>
        <w:tc>
          <w:tcPr>
            <w:tcW w:w="3686" w:type="dxa"/>
          </w:tcPr>
          <w:p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Ability to generate ideas </w:t>
            </w:r>
          </w:p>
        </w:tc>
        <w:tc>
          <w:tcPr>
            <w:tcW w:w="6379" w:type="dxa"/>
          </w:tcPr>
          <w:p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having the courage and confidence to be creative and innovative </w:t>
            </w:r>
          </w:p>
          <w:p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31E73" w:rsidRPr="0005178D" w:rsidTr="00B6400C">
        <w:trPr>
          <w:trHeight w:val="260"/>
        </w:trPr>
        <w:tc>
          <w:tcPr>
            <w:tcW w:w="3686" w:type="dxa"/>
          </w:tcPr>
          <w:p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Cross-cultural and international outlook </w:t>
            </w:r>
          </w:p>
        </w:tc>
        <w:tc>
          <w:tcPr>
            <w:tcW w:w="6379" w:type="dxa"/>
          </w:tcPr>
          <w:p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engaging productively and harmoniously with diverse cultures </w:t>
            </w:r>
          </w:p>
        </w:tc>
      </w:tr>
    </w:tbl>
    <w:p w:rsidR="007B44F3" w:rsidRDefault="007B44F3" w:rsidP="00D31E73"/>
    <w:p w:rsidR="00537541" w:rsidRPr="00551E63" w:rsidRDefault="00FB1778" w:rsidP="00537541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is </w:t>
      </w:r>
      <w:r w:rsidR="006C4351">
        <w:rPr>
          <w:rFonts w:asciiTheme="minorHAnsi" w:hAnsiTheme="minorHAnsi"/>
        </w:rPr>
        <w:t xml:space="preserve">involved in </w:t>
      </w:r>
      <w:r>
        <w:rPr>
          <w:rFonts w:asciiTheme="minorHAnsi" w:hAnsiTheme="minorHAnsi"/>
        </w:rPr>
        <w:t>idea generation</w:t>
      </w:r>
      <w:r w:rsidR="00537541" w:rsidRPr="00551E63">
        <w:rPr>
          <w:rFonts w:asciiTheme="minorHAnsi" w:hAnsiTheme="minorHAnsi"/>
        </w:rPr>
        <w:t>?</w:t>
      </w:r>
    </w:p>
    <w:p w:rsidR="001A49D4" w:rsidRPr="008C2D74" w:rsidRDefault="00537541" w:rsidP="001A49D4">
      <w:pPr>
        <w:widowControl w:val="0"/>
        <w:autoSpaceDE w:val="0"/>
        <w:autoSpaceDN w:val="0"/>
        <w:adjustRightInd w:val="0"/>
        <w:spacing w:after="100" w:afterAutospacing="1" w:line="360" w:lineRule="auto"/>
        <w:rPr>
          <w:rFonts w:cs="Calibri"/>
          <w:sz w:val="24"/>
          <w:szCs w:val="24"/>
          <w:lang w:val="en-US"/>
        </w:rPr>
      </w:pPr>
      <w:r w:rsidRPr="008C2D74">
        <w:rPr>
          <w:rFonts w:cs="Calibri"/>
          <w:sz w:val="24"/>
          <w:szCs w:val="24"/>
          <w:lang w:val="en-US"/>
        </w:rPr>
        <w:t>The ability to generate ideas involves a combination of divergent and convergent thinking processes. It usually starts with a phase of divergent thinking, focusing on the ability to generate numerous different ideas; but needs to be followed by a phase of convergent thinking to evaluate, structure, organise and put these ideas into action.</w:t>
      </w:r>
    </w:p>
    <w:p w:rsidR="00537541" w:rsidRPr="008C2D74" w:rsidRDefault="00537541" w:rsidP="008C2D74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val="en-US"/>
        </w:rPr>
      </w:pPr>
      <w:r w:rsidRPr="008C2D74">
        <w:rPr>
          <w:rFonts w:cs="Calibri"/>
          <w:sz w:val="24"/>
          <w:szCs w:val="24"/>
          <w:lang w:val="en-US"/>
        </w:rPr>
        <w:t>The most well-known aspects of idea generation skills were developed by Paul Torrance</w:t>
      </w:r>
      <w:r w:rsidR="006C4351">
        <w:rPr>
          <w:rFonts w:cs="Calibri"/>
          <w:sz w:val="24"/>
          <w:szCs w:val="24"/>
          <w:lang w:val="en-US"/>
        </w:rPr>
        <w:t>,</w:t>
      </w:r>
      <w:r w:rsidRPr="008C2D74">
        <w:rPr>
          <w:rFonts w:cs="Calibri"/>
          <w:sz w:val="24"/>
          <w:szCs w:val="24"/>
          <w:lang w:val="en-US"/>
        </w:rPr>
        <w:t xml:space="preserve"> resulting in the Torrance Test of Creative Thinking (TTCT, 1984). They are:</w:t>
      </w:r>
    </w:p>
    <w:p w:rsidR="00537541" w:rsidRPr="008C2D74" w:rsidRDefault="00537541" w:rsidP="008C2D7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val="en-US"/>
        </w:rPr>
      </w:pPr>
      <w:r w:rsidRPr="008C2D74">
        <w:rPr>
          <w:rFonts w:cs="Calibri"/>
          <w:sz w:val="24"/>
          <w:szCs w:val="24"/>
          <w:lang w:val="en-US"/>
        </w:rPr>
        <w:t>fluency: the ability to generate numerous ideas to the same stimulus or problem</w:t>
      </w:r>
    </w:p>
    <w:p w:rsidR="00537541" w:rsidRPr="008C2D74" w:rsidRDefault="00537541" w:rsidP="008C2D7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val="en-US"/>
        </w:rPr>
      </w:pPr>
      <w:r w:rsidRPr="008C2D74">
        <w:rPr>
          <w:rFonts w:cs="Calibri"/>
          <w:sz w:val="24"/>
          <w:szCs w:val="24"/>
          <w:lang w:val="en-US"/>
        </w:rPr>
        <w:lastRenderedPageBreak/>
        <w:t>flexibility: the ability to generate different types of responses</w:t>
      </w:r>
    </w:p>
    <w:p w:rsidR="00537541" w:rsidRPr="008C2D74" w:rsidRDefault="00537541" w:rsidP="008C2D7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val="en-US"/>
        </w:rPr>
      </w:pPr>
      <w:r w:rsidRPr="008C2D74">
        <w:rPr>
          <w:rFonts w:cs="Calibri"/>
          <w:sz w:val="24"/>
          <w:szCs w:val="24"/>
          <w:lang w:val="en-US"/>
        </w:rPr>
        <w:t>originality: the novelty or newness of the ideas</w:t>
      </w:r>
    </w:p>
    <w:p w:rsidR="00537541" w:rsidRPr="008C2D74" w:rsidRDefault="00537541" w:rsidP="008C2D7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val="en-US"/>
        </w:rPr>
      </w:pPr>
      <w:r w:rsidRPr="008C2D74">
        <w:rPr>
          <w:rFonts w:cs="Calibri"/>
          <w:sz w:val="24"/>
          <w:szCs w:val="24"/>
          <w:lang w:val="en-US"/>
        </w:rPr>
        <w:t xml:space="preserve">elaboration: the amount </w:t>
      </w:r>
      <w:r w:rsidR="006F7DBE">
        <w:rPr>
          <w:rFonts w:cs="Calibri"/>
          <w:sz w:val="24"/>
          <w:szCs w:val="24"/>
          <w:lang w:val="en-US"/>
        </w:rPr>
        <w:t>of detail involved in the ideas</w:t>
      </w:r>
    </w:p>
    <w:p w:rsidR="007B44F3" w:rsidRPr="00551E63" w:rsidRDefault="007B44F3" w:rsidP="00537541">
      <w:pPr>
        <w:spacing w:line="360" w:lineRule="auto"/>
        <w:rPr>
          <w:sz w:val="24"/>
          <w:szCs w:val="24"/>
        </w:rPr>
      </w:pPr>
    </w:p>
    <w:p w:rsidR="00A44484" w:rsidRPr="00A44484" w:rsidRDefault="00BF18EB" w:rsidP="00D31E73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A44484">
        <w:rPr>
          <w:rFonts w:asciiTheme="minorHAnsi" w:hAnsiTheme="minorHAnsi"/>
        </w:rPr>
        <w:t>How d</w:t>
      </w:r>
      <w:r w:rsidR="008347D2" w:rsidRPr="00A44484">
        <w:rPr>
          <w:rFonts w:asciiTheme="minorHAnsi" w:hAnsiTheme="minorHAnsi"/>
        </w:rPr>
        <w:t xml:space="preserve">o I develop this attribute in my </w:t>
      </w:r>
      <w:r w:rsidR="00CD2B32" w:rsidRPr="00A44484">
        <w:rPr>
          <w:rFonts w:asciiTheme="minorHAnsi" w:hAnsiTheme="minorHAnsi"/>
        </w:rPr>
        <w:t>students</w:t>
      </w:r>
      <w:r w:rsidR="004B4A0E" w:rsidRPr="00A44484">
        <w:rPr>
          <w:rFonts w:asciiTheme="minorHAnsi" w:hAnsiTheme="minorHAnsi"/>
        </w:rPr>
        <w:t>?</w:t>
      </w:r>
    </w:p>
    <w:p w:rsidR="00537541" w:rsidRPr="008C2D74" w:rsidRDefault="00537541" w:rsidP="006C4351">
      <w:pPr>
        <w:widowControl w:val="0"/>
        <w:autoSpaceDE w:val="0"/>
        <w:autoSpaceDN w:val="0"/>
        <w:adjustRightInd w:val="0"/>
        <w:spacing w:after="100" w:afterAutospacing="1" w:line="360" w:lineRule="auto"/>
        <w:rPr>
          <w:rFonts w:cs="Times"/>
          <w:sz w:val="24"/>
          <w:szCs w:val="24"/>
          <w:lang w:val="en-US"/>
        </w:rPr>
      </w:pPr>
      <w:r w:rsidRPr="008C2D74">
        <w:rPr>
          <w:rFonts w:cs="Calibri"/>
          <w:sz w:val="24"/>
          <w:szCs w:val="24"/>
          <w:lang w:val="en-US"/>
        </w:rPr>
        <w:t>The potential of activities to promote students' creativity and innovation skills is enhanced by teachers framing projects around a significant and engaging question. The question should arouse students’ curiosity in order to engender spontaneity and creativity. In answering the question, students’ confidence can be enhanced.</w:t>
      </w:r>
    </w:p>
    <w:p w:rsidR="00537541" w:rsidRPr="008C2D74" w:rsidRDefault="00537541" w:rsidP="008C2D74">
      <w:pPr>
        <w:widowControl w:val="0"/>
        <w:autoSpaceDE w:val="0"/>
        <w:autoSpaceDN w:val="0"/>
        <w:adjustRightInd w:val="0"/>
        <w:spacing w:after="0" w:line="360" w:lineRule="auto"/>
        <w:rPr>
          <w:rFonts w:cs="Times"/>
          <w:sz w:val="24"/>
          <w:szCs w:val="24"/>
          <w:lang w:val="en-US"/>
        </w:rPr>
      </w:pPr>
      <w:r w:rsidRPr="008C2D74">
        <w:rPr>
          <w:rFonts w:cs="Calibri"/>
          <w:sz w:val="24"/>
          <w:szCs w:val="24"/>
          <w:lang w:val="en-US"/>
        </w:rPr>
        <w:t xml:space="preserve">Below are a few further suggestions for </w:t>
      </w:r>
      <w:r w:rsidR="00A65C47">
        <w:rPr>
          <w:rFonts w:cs="Calibri"/>
          <w:sz w:val="24"/>
          <w:szCs w:val="24"/>
          <w:lang w:val="en-US"/>
        </w:rPr>
        <w:t>developing your students’ ability to be creative and innovative.</w:t>
      </w:r>
    </w:p>
    <w:p w:rsidR="00537541" w:rsidRPr="00A65C47" w:rsidRDefault="00537541" w:rsidP="00A65C4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65C47">
        <w:rPr>
          <w:sz w:val="24"/>
          <w:szCs w:val="24"/>
        </w:rPr>
        <w:t xml:space="preserve">Embed the explicit teaching of divergent and convergent thinking strategies into course content. </w:t>
      </w:r>
    </w:p>
    <w:p w:rsidR="00537541" w:rsidRPr="00A65C47" w:rsidRDefault="00537541" w:rsidP="00A65C4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65C47">
        <w:rPr>
          <w:sz w:val="24"/>
          <w:szCs w:val="24"/>
        </w:rPr>
        <w:t xml:space="preserve">Embed the development of creative thinking skills through using Problem-Based Learning (PBL). This approach involves teaching methodologies that develop a student’s knowledge, abilities, and skills through working on authentic (work-based) problems. </w:t>
      </w:r>
    </w:p>
    <w:p w:rsidR="00537541" w:rsidRPr="00A65C47" w:rsidRDefault="00537541" w:rsidP="00A65C4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65C47">
        <w:rPr>
          <w:sz w:val="24"/>
          <w:szCs w:val="24"/>
        </w:rPr>
        <w:t xml:space="preserve">Construct projects and assessments with open- ended tasks and activities that promote novel solutions and ideas. </w:t>
      </w:r>
    </w:p>
    <w:p w:rsidR="00537541" w:rsidRPr="00A65C47" w:rsidRDefault="00537541" w:rsidP="00A65C4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65C47">
        <w:rPr>
          <w:sz w:val="24"/>
          <w:szCs w:val="24"/>
        </w:rPr>
        <w:t xml:space="preserve">When setting problem-solving challenges, encourage students to develop multiple solutions to a set problem. </w:t>
      </w:r>
    </w:p>
    <w:p w:rsidR="00537541" w:rsidRPr="00A65C47" w:rsidRDefault="00537541" w:rsidP="00A65C4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65C47">
        <w:rPr>
          <w:sz w:val="24"/>
          <w:szCs w:val="24"/>
        </w:rPr>
        <w:t xml:space="preserve">Teach students problem identification as well as problem solving strategies. This will develop their skills in spotting opportunities or potential problems before they occur, as well as developing a rich repertoire of different strategies to resolve problems. </w:t>
      </w:r>
    </w:p>
    <w:p w:rsidR="00537541" w:rsidRPr="00A65C47" w:rsidRDefault="00537541" w:rsidP="00A65C4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65C47">
        <w:rPr>
          <w:sz w:val="24"/>
          <w:szCs w:val="24"/>
        </w:rPr>
        <w:t xml:space="preserve">Ask “what if ...?” questions and encourage students to generate their own “what if ...?” questions. </w:t>
      </w:r>
    </w:p>
    <w:p w:rsidR="00537541" w:rsidRPr="00A65C47" w:rsidRDefault="00537541" w:rsidP="00A65C4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65C47">
        <w:rPr>
          <w:sz w:val="24"/>
          <w:szCs w:val="24"/>
        </w:rPr>
        <w:t xml:space="preserve">Teach students to connect different ideas in imaginative ways. </w:t>
      </w:r>
    </w:p>
    <w:p w:rsidR="00537541" w:rsidRPr="00A65C47" w:rsidRDefault="00537541" w:rsidP="00A65C4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65C47">
        <w:rPr>
          <w:sz w:val="24"/>
          <w:szCs w:val="24"/>
        </w:rPr>
        <w:t xml:space="preserve">Encourage students to develop metaphors – it is a very useful tool in enabling the development of new or novel ideas. </w:t>
      </w:r>
    </w:p>
    <w:p w:rsidR="00537541" w:rsidRPr="00A65C47" w:rsidRDefault="00537541" w:rsidP="00A65C4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65C47">
        <w:rPr>
          <w:sz w:val="24"/>
          <w:szCs w:val="24"/>
        </w:rPr>
        <w:t xml:space="preserve">Set tasks that require exploring, discovering, imagining or experimenting. </w:t>
      </w:r>
    </w:p>
    <w:p w:rsidR="00537541" w:rsidRPr="00A65C47" w:rsidRDefault="00537541" w:rsidP="00A65C4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65C47">
        <w:rPr>
          <w:sz w:val="24"/>
          <w:szCs w:val="24"/>
        </w:rPr>
        <w:t xml:space="preserve">Teach students how to experiment with alternatives and to adapt ideas as circumstances change. </w:t>
      </w:r>
    </w:p>
    <w:p w:rsidR="00537541" w:rsidRPr="00A65C47" w:rsidRDefault="00537541" w:rsidP="00A65C4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65C47">
        <w:rPr>
          <w:sz w:val="24"/>
          <w:szCs w:val="24"/>
        </w:rPr>
        <w:lastRenderedPageBreak/>
        <w:t xml:space="preserve">Encourage students to question their own and others’ assumptions – this often leads to new ideas. </w:t>
      </w:r>
    </w:p>
    <w:p w:rsidR="00537541" w:rsidRPr="00A65C47" w:rsidRDefault="00537541" w:rsidP="00A65C4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65C47">
        <w:rPr>
          <w:sz w:val="24"/>
          <w:szCs w:val="24"/>
        </w:rPr>
        <w:t xml:space="preserve">Develop the skill of using known objects, ideas or solutions in unusual ways. </w:t>
      </w:r>
    </w:p>
    <w:p w:rsidR="00537541" w:rsidRPr="008C2D74" w:rsidRDefault="00537541" w:rsidP="00A65C47">
      <w:pPr>
        <w:numPr>
          <w:ilvl w:val="0"/>
          <w:numId w:val="1"/>
        </w:numPr>
        <w:spacing w:after="0" w:line="360" w:lineRule="auto"/>
        <w:rPr>
          <w:rFonts w:cs="Times"/>
          <w:sz w:val="24"/>
          <w:szCs w:val="24"/>
          <w:lang w:val="en-US"/>
        </w:rPr>
      </w:pPr>
      <w:r w:rsidRPr="00A65C47">
        <w:rPr>
          <w:sz w:val="24"/>
          <w:szCs w:val="24"/>
        </w:rPr>
        <w:t>Encourage quantity of ideas and initially suspend judgem</w:t>
      </w:r>
      <w:r w:rsidRPr="008C2D74">
        <w:rPr>
          <w:rFonts w:cs="Calibri"/>
          <w:sz w:val="24"/>
          <w:szCs w:val="24"/>
          <w:lang w:val="en-US"/>
        </w:rPr>
        <w:t xml:space="preserve">ent about the quality. There are good ideas and bad ideas, but no such thing as an idea without value. Even a bad idea can have the value of sparking off a good idea. (If ideas are judged too early it could diminish the courage of students to contribute future ideas.) </w:t>
      </w:r>
    </w:p>
    <w:p w:rsidR="00537541" w:rsidRPr="00A65C47" w:rsidRDefault="00537541" w:rsidP="00A65C4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C2D74">
        <w:rPr>
          <w:rFonts w:cs="Calibri"/>
          <w:sz w:val="24"/>
          <w:szCs w:val="24"/>
          <w:lang w:val="en-US"/>
        </w:rPr>
        <w:t>T</w:t>
      </w:r>
      <w:r w:rsidRPr="00A65C47">
        <w:rPr>
          <w:sz w:val="24"/>
          <w:szCs w:val="24"/>
        </w:rPr>
        <w:t xml:space="preserve">each, practise and assess the four rules of brainstorming by Osborn (1953): focus on quantity, withhold criticism, welcome unusual ideas and combine and improve ideas. </w:t>
      </w:r>
    </w:p>
    <w:p w:rsidR="00537541" w:rsidRPr="00A65C47" w:rsidRDefault="00537541" w:rsidP="00D04BCF">
      <w:pPr>
        <w:numPr>
          <w:ilvl w:val="0"/>
          <w:numId w:val="1"/>
        </w:numPr>
        <w:spacing w:after="100" w:afterAutospacing="1" w:line="360" w:lineRule="auto"/>
        <w:ind w:left="714" w:hanging="357"/>
        <w:rPr>
          <w:sz w:val="24"/>
          <w:szCs w:val="24"/>
        </w:rPr>
      </w:pPr>
      <w:r w:rsidRPr="00A65C47">
        <w:rPr>
          <w:sz w:val="24"/>
          <w:szCs w:val="24"/>
        </w:rPr>
        <w:t xml:space="preserve">Model creativity through your teaching. </w:t>
      </w:r>
    </w:p>
    <w:p w:rsidR="00D31E73" w:rsidRPr="007B44F3" w:rsidRDefault="00537541" w:rsidP="00D04BCF">
      <w:pPr>
        <w:spacing w:after="0" w:line="360" w:lineRule="auto"/>
        <w:rPr>
          <w:sz w:val="24"/>
          <w:szCs w:val="24"/>
        </w:rPr>
      </w:pPr>
      <w:r w:rsidRPr="00A65C47">
        <w:rPr>
          <w:sz w:val="24"/>
          <w:szCs w:val="24"/>
        </w:rPr>
        <w:t xml:space="preserve">Provide clear criteria or rubrics for  assessing the ability to generate ideas, e.g. fluency, flexibility, originality and elaboration. </w:t>
      </w:r>
    </w:p>
    <w:p w:rsidR="007B44F3" w:rsidRPr="008C2D74" w:rsidRDefault="007B44F3" w:rsidP="007B44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220"/>
        <w:rPr>
          <w:sz w:val="24"/>
          <w:szCs w:val="24"/>
        </w:rPr>
      </w:pPr>
    </w:p>
    <w:p w:rsidR="007A43F1" w:rsidRPr="00551E63" w:rsidRDefault="009853B7" w:rsidP="00D31E73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551E63">
        <w:rPr>
          <w:rFonts w:asciiTheme="minorHAnsi" w:hAnsiTheme="minorHAnsi"/>
        </w:rPr>
        <w:t xml:space="preserve">Where </w:t>
      </w:r>
      <w:r w:rsidR="0069105B" w:rsidRPr="00551E63">
        <w:rPr>
          <w:rFonts w:asciiTheme="minorHAnsi" w:hAnsiTheme="minorHAnsi"/>
        </w:rPr>
        <w:t xml:space="preserve">can I learn </w:t>
      </w:r>
      <w:r w:rsidR="00BF18EB" w:rsidRPr="00551E63">
        <w:rPr>
          <w:rFonts w:asciiTheme="minorHAnsi" w:hAnsiTheme="minorHAnsi"/>
        </w:rPr>
        <w:t xml:space="preserve">more about </w:t>
      </w:r>
      <w:r w:rsidR="008925EA">
        <w:rPr>
          <w:rFonts w:asciiTheme="minorHAnsi" w:hAnsiTheme="minorHAnsi"/>
        </w:rPr>
        <w:t xml:space="preserve">ECU </w:t>
      </w:r>
      <w:r w:rsidR="00BF18EB" w:rsidRPr="00551E63">
        <w:rPr>
          <w:rFonts w:asciiTheme="minorHAnsi" w:hAnsiTheme="minorHAnsi"/>
        </w:rPr>
        <w:t>Graduate Attributes?</w:t>
      </w:r>
    </w:p>
    <w:p w:rsidR="007A43F1" w:rsidRPr="00551E63" w:rsidRDefault="007A43F1" w:rsidP="00551E63">
      <w:pPr>
        <w:spacing w:after="0" w:line="360" w:lineRule="auto"/>
        <w:rPr>
          <w:sz w:val="24"/>
          <w:szCs w:val="24"/>
        </w:rPr>
      </w:pPr>
      <w:r w:rsidRPr="00551E63">
        <w:rPr>
          <w:sz w:val="24"/>
          <w:szCs w:val="24"/>
        </w:rPr>
        <w:t xml:space="preserve">If you’d like to learn more about including ECU’s graduate attributes in your teaching, or any of the points outlined in this fact sheet, you can: </w:t>
      </w:r>
    </w:p>
    <w:p w:rsidR="0069105B" w:rsidRPr="00551E63" w:rsidRDefault="0069105B" w:rsidP="00551E63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51E63">
        <w:rPr>
          <w:sz w:val="24"/>
          <w:szCs w:val="24"/>
        </w:rPr>
        <w:t xml:space="preserve">Look out for </w:t>
      </w:r>
      <w:r w:rsidR="009853B7" w:rsidRPr="00551E63">
        <w:rPr>
          <w:sz w:val="24"/>
          <w:szCs w:val="24"/>
        </w:rPr>
        <w:t>Professi</w:t>
      </w:r>
      <w:r w:rsidRPr="00551E63">
        <w:rPr>
          <w:sz w:val="24"/>
          <w:szCs w:val="24"/>
        </w:rPr>
        <w:t>onal Development opportunities (a</w:t>
      </w:r>
      <w:r w:rsidR="00A36E90" w:rsidRPr="00551E63">
        <w:rPr>
          <w:sz w:val="24"/>
          <w:szCs w:val="24"/>
        </w:rPr>
        <w:t xml:space="preserve">ll teaching staff are introduced to the </w:t>
      </w:r>
      <w:r w:rsidR="009853B7" w:rsidRPr="00551E63">
        <w:rPr>
          <w:sz w:val="24"/>
          <w:szCs w:val="24"/>
        </w:rPr>
        <w:t xml:space="preserve">Graduate Attributes in </w:t>
      </w:r>
      <w:r w:rsidR="00A36E90" w:rsidRPr="00551E63">
        <w:rPr>
          <w:sz w:val="24"/>
          <w:szCs w:val="24"/>
        </w:rPr>
        <w:t>PDC 111</w:t>
      </w:r>
      <w:r w:rsidR="007E1248">
        <w:rPr>
          <w:sz w:val="24"/>
          <w:szCs w:val="24"/>
        </w:rPr>
        <w:t>)</w:t>
      </w:r>
    </w:p>
    <w:p w:rsidR="0069105B" w:rsidRPr="00551E63" w:rsidRDefault="0069105B" w:rsidP="00551E6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51E63">
        <w:rPr>
          <w:sz w:val="24"/>
          <w:szCs w:val="24"/>
        </w:rPr>
        <w:t xml:space="preserve">Read the examples included in the </w:t>
      </w:r>
      <w:r w:rsidR="009853B7" w:rsidRPr="00551E63">
        <w:rPr>
          <w:sz w:val="24"/>
          <w:szCs w:val="24"/>
        </w:rPr>
        <w:t>CLD Curriculum 2012 ex</w:t>
      </w:r>
      <w:r w:rsidRPr="00551E63">
        <w:rPr>
          <w:sz w:val="24"/>
          <w:szCs w:val="24"/>
        </w:rPr>
        <w:t>ample booklet</w:t>
      </w:r>
    </w:p>
    <w:p w:rsidR="009853B7" w:rsidRDefault="0069105B" w:rsidP="00551E6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51E63">
        <w:rPr>
          <w:sz w:val="24"/>
          <w:szCs w:val="24"/>
        </w:rPr>
        <w:t>Contact the Centre for Learning and Development</w:t>
      </w:r>
      <w:r w:rsidR="007A43F1" w:rsidRPr="00551E63">
        <w:rPr>
          <w:sz w:val="24"/>
          <w:szCs w:val="24"/>
        </w:rPr>
        <w:t xml:space="preserve"> for advice. </w:t>
      </w:r>
    </w:p>
    <w:p w:rsidR="007B44F3" w:rsidRPr="00551E63" w:rsidRDefault="007B44F3" w:rsidP="007B44F3">
      <w:pPr>
        <w:pStyle w:val="ListParagraph"/>
        <w:spacing w:line="360" w:lineRule="auto"/>
        <w:rPr>
          <w:sz w:val="24"/>
          <w:szCs w:val="24"/>
        </w:rPr>
      </w:pPr>
    </w:p>
    <w:p w:rsidR="007A43F1" w:rsidRPr="00551E63" w:rsidRDefault="007A43F1" w:rsidP="00D31E73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551E63">
        <w:rPr>
          <w:rFonts w:asciiTheme="minorHAnsi" w:hAnsiTheme="minorHAnsi"/>
        </w:rPr>
        <w:t xml:space="preserve">Recommended </w:t>
      </w:r>
      <w:r w:rsidR="006C4351">
        <w:rPr>
          <w:rFonts w:asciiTheme="minorHAnsi" w:hAnsiTheme="minorHAnsi"/>
        </w:rPr>
        <w:t>reading</w:t>
      </w:r>
    </w:p>
    <w:p w:rsidR="00B956A1" w:rsidRDefault="00B956A1" w:rsidP="0018475D">
      <w:pPr>
        <w:spacing w:after="0" w:line="240" w:lineRule="auto"/>
      </w:pPr>
    </w:p>
    <w:p w:rsidR="0018475D" w:rsidRPr="005C5852" w:rsidRDefault="00AA1297" w:rsidP="0018475D">
      <w:p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  <w:hyperlink r:id="rId9" w:history="1">
        <w:r w:rsidR="0018475D" w:rsidRPr="005C5852">
          <w:rPr>
            <w:rStyle w:val="Hyperlink"/>
            <w:rFonts w:eastAsia="Times New Roman" w:cs="Arial"/>
            <w:sz w:val="24"/>
            <w:szCs w:val="24"/>
            <w:lang w:eastAsia="en-AU"/>
          </w:rPr>
          <w:t>Centre for Learning and Development Publications</w:t>
        </w:r>
      </w:hyperlink>
      <w:r w:rsidR="0018475D" w:rsidRPr="005C5852">
        <w:rPr>
          <w:rFonts w:eastAsia="Times New Roman" w:cs="Arial"/>
          <w:sz w:val="24"/>
          <w:szCs w:val="24"/>
          <w:lang w:eastAsia="en-AU"/>
        </w:rPr>
        <w:t>:</w:t>
      </w:r>
    </w:p>
    <w:p w:rsidR="0018475D" w:rsidRPr="005C5852" w:rsidRDefault="0018475D" w:rsidP="0018475D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  <w:r w:rsidRPr="005C5852">
        <w:rPr>
          <w:rFonts w:eastAsia="Times New Roman" w:cs="Arial"/>
          <w:sz w:val="24"/>
          <w:szCs w:val="24"/>
          <w:lang w:eastAsia="en-AU"/>
        </w:rPr>
        <w:t>ECU Curriculum Framework – Examples for Teachers</w:t>
      </w:r>
    </w:p>
    <w:p w:rsidR="0018475D" w:rsidRPr="005C5852" w:rsidRDefault="0018475D" w:rsidP="0018475D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  <w:r w:rsidRPr="005C5852">
        <w:rPr>
          <w:rFonts w:eastAsia="Times New Roman" w:cs="Arial"/>
          <w:sz w:val="24"/>
          <w:szCs w:val="24"/>
          <w:lang w:eastAsia="en-AU"/>
        </w:rPr>
        <w:t>Course Coordinator Handbook - An Introduction to Course Coordination</w:t>
      </w:r>
    </w:p>
    <w:p w:rsidR="0018475D" w:rsidRPr="005C5852" w:rsidRDefault="0018475D" w:rsidP="0018475D">
      <w:p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</w:p>
    <w:p w:rsidR="00537541" w:rsidRPr="00537541" w:rsidRDefault="00537541" w:rsidP="005375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 w:rsidRPr="00537541">
        <w:rPr>
          <w:rFonts w:cs="Calibri"/>
          <w:sz w:val="24"/>
          <w:szCs w:val="24"/>
          <w:lang w:val="en-US"/>
        </w:rPr>
        <w:t>Halpern, D</w:t>
      </w:r>
      <w:r w:rsidR="00D44B79">
        <w:rPr>
          <w:rFonts w:cs="Calibri"/>
          <w:sz w:val="24"/>
          <w:szCs w:val="24"/>
          <w:lang w:val="en-US"/>
        </w:rPr>
        <w:t>.</w:t>
      </w:r>
      <w:r w:rsidRPr="00537541">
        <w:rPr>
          <w:rFonts w:cs="Calibri"/>
          <w:sz w:val="24"/>
          <w:szCs w:val="24"/>
          <w:lang w:val="en-US"/>
        </w:rPr>
        <w:t xml:space="preserve"> (1998). Teaching critical thinking for transfer across domains: Dispositions, skills, </w:t>
      </w:r>
      <w:r w:rsidRPr="00537541">
        <w:rPr>
          <w:rFonts w:cs="Times"/>
          <w:sz w:val="24"/>
          <w:szCs w:val="24"/>
          <w:lang w:val="en-US"/>
        </w:rPr>
        <w:t> </w:t>
      </w:r>
      <w:r w:rsidRPr="00537541">
        <w:rPr>
          <w:rFonts w:cs="Calibri"/>
          <w:sz w:val="24"/>
          <w:szCs w:val="24"/>
          <w:lang w:val="en-US"/>
        </w:rPr>
        <w:t xml:space="preserve">structure training, and metacognitive monitoring. </w:t>
      </w:r>
      <w:r w:rsidRPr="00537541">
        <w:rPr>
          <w:rFonts w:cs="Calibri"/>
          <w:i/>
          <w:iCs/>
          <w:sz w:val="24"/>
          <w:szCs w:val="24"/>
          <w:lang w:val="en-US"/>
        </w:rPr>
        <w:t>American Psychologist</w:t>
      </w:r>
      <w:r w:rsidRPr="00537541">
        <w:rPr>
          <w:rFonts w:cs="Calibri"/>
          <w:sz w:val="24"/>
          <w:szCs w:val="24"/>
          <w:lang w:val="en-US"/>
        </w:rPr>
        <w:t xml:space="preserve">, </w:t>
      </w:r>
      <w:r w:rsidRPr="00537541">
        <w:rPr>
          <w:rFonts w:cs="Calibri"/>
          <w:i/>
          <w:iCs/>
          <w:sz w:val="24"/>
          <w:szCs w:val="24"/>
          <w:lang w:val="en-US"/>
        </w:rPr>
        <w:t>53</w:t>
      </w:r>
      <w:r w:rsidRPr="00537541">
        <w:rPr>
          <w:rFonts w:cs="Calibri"/>
          <w:sz w:val="24"/>
          <w:szCs w:val="24"/>
          <w:lang w:val="en-US"/>
        </w:rPr>
        <w:t xml:space="preserve">(4), pp.449-455. </w:t>
      </w:r>
    </w:p>
    <w:p w:rsidR="00537541" w:rsidRDefault="00537541" w:rsidP="005375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</w:p>
    <w:p w:rsidR="00537541" w:rsidRPr="00537541" w:rsidRDefault="00537541" w:rsidP="005375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 w:rsidRPr="00537541">
        <w:rPr>
          <w:rFonts w:cs="Calibri"/>
          <w:sz w:val="24"/>
          <w:szCs w:val="24"/>
          <w:lang w:val="en-US"/>
        </w:rPr>
        <w:t xml:space="preserve">Harper, S. R., &amp; Quaye, S. J. (Eds.). (2009). </w:t>
      </w:r>
      <w:r w:rsidRPr="00537541">
        <w:rPr>
          <w:rFonts w:cs="Calibri"/>
          <w:i/>
          <w:iCs/>
          <w:sz w:val="24"/>
          <w:szCs w:val="24"/>
          <w:lang w:val="en-US"/>
        </w:rPr>
        <w:t xml:space="preserve">Student engagement in higher education: Theoretical </w:t>
      </w:r>
      <w:r w:rsidRPr="00537541">
        <w:rPr>
          <w:rFonts w:cs="Times"/>
          <w:sz w:val="24"/>
          <w:szCs w:val="24"/>
          <w:lang w:val="en-US"/>
        </w:rPr>
        <w:t> </w:t>
      </w:r>
      <w:r w:rsidRPr="00537541">
        <w:rPr>
          <w:rFonts w:cs="Calibri"/>
          <w:i/>
          <w:iCs/>
          <w:sz w:val="24"/>
          <w:szCs w:val="24"/>
          <w:lang w:val="en-US"/>
        </w:rPr>
        <w:t xml:space="preserve">perspectives and practical approaches for diverse populations. </w:t>
      </w:r>
      <w:r w:rsidRPr="00537541">
        <w:rPr>
          <w:rFonts w:cs="Calibri"/>
          <w:sz w:val="24"/>
          <w:szCs w:val="24"/>
          <w:lang w:val="en-US"/>
        </w:rPr>
        <w:t xml:space="preserve">New York: Routledge. </w:t>
      </w:r>
    </w:p>
    <w:p w:rsidR="00537541" w:rsidRDefault="00537541" w:rsidP="005375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</w:p>
    <w:p w:rsidR="00537541" w:rsidRPr="00537541" w:rsidRDefault="00537541" w:rsidP="005375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 w:rsidRPr="00537541">
        <w:rPr>
          <w:rFonts w:cs="Calibri"/>
          <w:sz w:val="24"/>
          <w:szCs w:val="24"/>
          <w:lang w:val="en-US"/>
        </w:rPr>
        <w:lastRenderedPageBreak/>
        <w:t xml:space="preserve">Joubert, M.M. (2002) </w:t>
      </w:r>
      <w:r w:rsidRPr="00537541">
        <w:rPr>
          <w:rFonts w:cs="Calibri"/>
          <w:i/>
          <w:iCs/>
          <w:sz w:val="24"/>
          <w:szCs w:val="24"/>
          <w:lang w:val="en-US"/>
        </w:rPr>
        <w:t xml:space="preserve">Challenging Convention: Creativity in Organisations. </w:t>
      </w:r>
      <w:r w:rsidRPr="00537541">
        <w:rPr>
          <w:rFonts w:cs="Calibri"/>
          <w:sz w:val="24"/>
          <w:szCs w:val="24"/>
          <w:lang w:val="en-US"/>
        </w:rPr>
        <w:t xml:space="preserve">London: Royal </w:t>
      </w:r>
      <w:r w:rsidRPr="00537541">
        <w:rPr>
          <w:rFonts w:cs="Times"/>
          <w:sz w:val="24"/>
          <w:szCs w:val="24"/>
          <w:lang w:val="en-US"/>
        </w:rPr>
        <w:t> </w:t>
      </w:r>
      <w:r w:rsidRPr="00537541">
        <w:rPr>
          <w:rFonts w:cs="Calibri"/>
          <w:sz w:val="24"/>
          <w:szCs w:val="24"/>
          <w:lang w:val="en-US"/>
        </w:rPr>
        <w:t>Society for the Encouragement of Arts, Manufactures and Commerce. </w:t>
      </w:r>
    </w:p>
    <w:p w:rsidR="00537541" w:rsidRDefault="00537541" w:rsidP="005375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</w:p>
    <w:p w:rsidR="00537541" w:rsidRPr="00537541" w:rsidRDefault="00537541" w:rsidP="005375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 w:rsidRPr="00537541">
        <w:rPr>
          <w:rFonts w:cs="Calibri"/>
          <w:sz w:val="24"/>
          <w:szCs w:val="24"/>
          <w:lang w:val="en-US"/>
        </w:rPr>
        <w:t xml:space="preserve">Joubert, M.M. (2010). EXCITE – EXcellence, Creativity and Innovation in Teaching and </w:t>
      </w:r>
      <w:r w:rsidRPr="00537541">
        <w:rPr>
          <w:rFonts w:cs="Times"/>
          <w:sz w:val="24"/>
          <w:szCs w:val="24"/>
          <w:lang w:val="en-US"/>
        </w:rPr>
        <w:t> </w:t>
      </w:r>
      <w:r w:rsidRPr="00537541">
        <w:rPr>
          <w:rFonts w:cs="Calibri"/>
          <w:sz w:val="24"/>
          <w:szCs w:val="24"/>
          <w:lang w:val="en-US"/>
        </w:rPr>
        <w:t xml:space="preserve">Education. In </w:t>
      </w:r>
      <w:r w:rsidRPr="00537541">
        <w:rPr>
          <w:rFonts w:cs="Calibri"/>
          <w:i/>
          <w:iCs/>
          <w:sz w:val="24"/>
          <w:szCs w:val="24"/>
          <w:lang w:val="en-US"/>
        </w:rPr>
        <w:t xml:space="preserve">Imagine That! </w:t>
      </w:r>
      <w:r w:rsidRPr="00537541">
        <w:rPr>
          <w:rFonts w:cs="Calibri"/>
          <w:sz w:val="24"/>
          <w:szCs w:val="24"/>
          <w:lang w:val="en-US"/>
        </w:rPr>
        <w:t xml:space="preserve">(eds. Williams, C. &amp; Nolan, V.) USA, Massachusetts: Synectics </w:t>
      </w:r>
      <w:r w:rsidRPr="00537541">
        <w:rPr>
          <w:rFonts w:cs="Times"/>
          <w:sz w:val="24"/>
          <w:szCs w:val="24"/>
          <w:lang w:val="en-US"/>
        </w:rPr>
        <w:t> </w:t>
      </w:r>
      <w:r w:rsidRPr="00537541">
        <w:rPr>
          <w:rFonts w:cs="Calibri"/>
          <w:sz w:val="24"/>
          <w:szCs w:val="24"/>
          <w:lang w:val="en-US"/>
        </w:rPr>
        <w:t>Inc. </w:t>
      </w:r>
    </w:p>
    <w:p w:rsidR="00537541" w:rsidRDefault="00537541" w:rsidP="005375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</w:p>
    <w:p w:rsidR="00537541" w:rsidRPr="00537541" w:rsidRDefault="00537541" w:rsidP="005375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 w:rsidRPr="00537541">
        <w:rPr>
          <w:rFonts w:cs="Calibri"/>
          <w:sz w:val="24"/>
          <w:szCs w:val="24"/>
          <w:lang w:val="en-US"/>
        </w:rPr>
        <w:t xml:space="preserve">Osborn, A.F. (1953) </w:t>
      </w:r>
      <w:r w:rsidRPr="00537541">
        <w:rPr>
          <w:rFonts w:cs="Calibri"/>
          <w:i/>
          <w:iCs/>
          <w:sz w:val="24"/>
          <w:szCs w:val="24"/>
          <w:lang w:val="en-US"/>
        </w:rPr>
        <w:t>Applied imagination: Principles and procedures of creative problem solving</w:t>
      </w:r>
      <w:r w:rsidRPr="00537541">
        <w:rPr>
          <w:rFonts w:cs="Calibri"/>
          <w:sz w:val="24"/>
          <w:szCs w:val="24"/>
          <w:lang w:val="en-US"/>
        </w:rPr>
        <w:t xml:space="preserve">. </w:t>
      </w:r>
      <w:r w:rsidRPr="00537541">
        <w:rPr>
          <w:rFonts w:cs="Times"/>
          <w:sz w:val="24"/>
          <w:szCs w:val="24"/>
          <w:lang w:val="en-US"/>
        </w:rPr>
        <w:t> </w:t>
      </w:r>
      <w:r w:rsidRPr="00537541">
        <w:rPr>
          <w:rFonts w:cs="Calibri"/>
          <w:sz w:val="24"/>
          <w:szCs w:val="24"/>
          <w:lang w:val="en-US"/>
        </w:rPr>
        <w:t>New York, NY: Charles Scribner’s Sons. </w:t>
      </w:r>
    </w:p>
    <w:p w:rsidR="00537541" w:rsidRDefault="00537541" w:rsidP="005375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</w:p>
    <w:p w:rsidR="00537541" w:rsidRPr="00537541" w:rsidRDefault="00537541" w:rsidP="005375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Times"/>
          <w:sz w:val="24"/>
          <w:szCs w:val="24"/>
          <w:lang w:val="en-US"/>
        </w:rPr>
      </w:pPr>
      <w:r w:rsidRPr="00537541">
        <w:rPr>
          <w:rFonts w:cs="Calibri"/>
          <w:sz w:val="24"/>
          <w:szCs w:val="24"/>
          <w:lang w:val="en-US"/>
        </w:rPr>
        <w:t xml:space="preserve">Torrance, E.P. (1984). </w:t>
      </w:r>
      <w:r w:rsidRPr="00537541">
        <w:rPr>
          <w:rFonts w:cs="Calibri"/>
          <w:i/>
          <w:iCs/>
          <w:sz w:val="24"/>
          <w:szCs w:val="24"/>
          <w:lang w:val="en-US"/>
        </w:rPr>
        <w:t>Torrance Tests of Creative Thinking</w:t>
      </w:r>
      <w:r w:rsidRPr="00537541">
        <w:rPr>
          <w:rFonts w:cs="Calibri"/>
          <w:sz w:val="24"/>
          <w:szCs w:val="24"/>
          <w:lang w:val="en-US"/>
        </w:rPr>
        <w:t xml:space="preserve">. Scholastic Testing Service, Inc. </w:t>
      </w:r>
    </w:p>
    <w:p w:rsidR="000A4443" w:rsidRPr="00537541" w:rsidRDefault="000A4443" w:rsidP="00537541">
      <w:pPr>
        <w:spacing w:after="0" w:line="240" w:lineRule="auto"/>
        <w:rPr>
          <w:rFonts w:cs="GillSansStd"/>
          <w:sz w:val="24"/>
          <w:szCs w:val="24"/>
        </w:rPr>
      </w:pPr>
    </w:p>
    <w:p w:rsidR="007A43F1" w:rsidRPr="00537541" w:rsidRDefault="007A43F1" w:rsidP="00537541">
      <w:pPr>
        <w:spacing w:after="0" w:line="240" w:lineRule="auto"/>
        <w:rPr>
          <w:b/>
          <w:sz w:val="24"/>
          <w:szCs w:val="24"/>
        </w:rPr>
      </w:pPr>
    </w:p>
    <w:p w:rsidR="005B522B" w:rsidRPr="00537541" w:rsidRDefault="005B522B" w:rsidP="00537541">
      <w:pPr>
        <w:spacing w:after="0" w:line="240" w:lineRule="auto"/>
        <w:rPr>
          <w:sz w:val="24"/>
          <w:szCs w:val="24"/>
        </w:rPr>
      </w:pPr>
    </w:p>
    <w:sectPr w:rsidR="005B522B" w:rsidRPr="00537541" w:rsidSect="00CD2B32">
      <w:headerReference w:type="default" r:id="rId10"/>
      <w:footerReference w:type="default" r:id="rId11"/>
      <w:pgSz w:w="11906" w:h="16838"/>
      <w:pgMar w:top="1814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0C" w:rsidRDefault="00B6400C" w:rsidP="0009199F">
      <w:pPr>
        <w:spacing w:after="0" w:line="240" w:lineRule="auto"/>
      </w:pPr>
      <w:r>
        <w:separator/>
      </w:r>
    </w:p>
  </w:endnote>
  <w:endnote w:type="continuationSeparator" w:id="0">
    <w:p w:rsidR="00B6400C" w:rsidRDefault="00B6400C" w:rsidP="0009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Sans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B6400C" w:rsidRDefault="00AA1297">
    <w:pPr>
      <w:pStyle w:val="Footer"/>
    </w:pPr>
    <w:r>
      <w:rPr>
        <w:noProof/>
        <w:lang w:val="en-US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62" type="#_x0000_t202" style="position:absolute;margin-left:39.85pt;margin-top:792.4pt;width:511.5pt;height:36.3pt;z-index:251665408;mso-wrap-edited:f;mso-position-horizontal-relative:page;mso-position-vertical-relative:page" wrapcoords="-29 0 -29 21518 21629 21518 21629 0 -29 0" fillcolor="#666" stroked="f" strokecolor="#bfbfbf" strokeweight=".5pt">
          <v:fill o:detectmouseclick="t"/>
          <v:textbox style="mso-next-textbox:#_x0000_s2062" inset="5mm,3mm,5mm,2mm">
            <w:txbxContent>
              <w:p w:rsidR="00B6400C" w:rsidRDefault="00B6400C" w:rsidP="00D31E73">
                <w:pPr>
                  <w:spacing w:after="0" w:line="240" w:lineRule="auto"/>
                  <w:jc w:val="center"/>
                  <w:rPr>
                    <w:rFonts w:ascii="Arial" w:hAnsi="Arial"/>
                    <w:color w:val="FFFFFF"/>
                    <w:sz w:val="18"/>
                    <w:szCs w:val="18"/>
                  </w:rPr>
                </w:pPr>
                <w:r w:rsidRPr="00B33DDD">
                  <w:rPr>
                    <w:rFonts w:ascii="Arial" w:hAnsi="Arial"/>
                    <w:color w:val="FFFFFF"/>
                    <w:sz w:val="18"/>
                    <w:szCs w:val="18"/>
                  </w:rPr>
                  <w:t>Centre for Learning and Development</w:t>
                </w:r>
              </w:p>
              <w:p w:rsidR="00B6400C" w:rsidRPr="00B33DDD" w:rsidRDefault="00B6400C" w:rsidP="00D31E73">
                <w:pPr>
                  <w:spacing w:after="0" w:line="240" w:lineRule="auto"/>
                  <w:jc w:val="center"/>
                  <w:rPr>
                    <w:rFonts w:ascii="Arial" w:hAnsi="Arial"/>
                    <w:color w:val="FFFFFF"/>
                    <w:sz w:val="18"/>
                    <w:szCs w:val="18"/>
                  </w:rPr>
                </w:pPr>
                <w:r w:rsidRPr="00B33DDD">
                  <w:rPr>
                    <w:rFonts w:ascii="Arial" w:hAnsi="Arial"/>
                    <w:color w:val="FFFFFF"/>
                    <w:sz w:val="18"/>
                    <w:szCs w:val="18"/>
                  </w:rPr>
                  <w:t xml:space="preserve">Tel: +61 8 6304 2554   |   Email: </w:t>
                </w:r>
                <w:hyperlink r:id="rId1" w:history="1">
                  <w:r w:rsidRPr="00B33DDD">
                    <w:rPr>
                      <w:rStyle w:val="Hyperlink"/>
                      <w:rFonts w:ascii="Arial" w:hAnsi="Arial"/>
                      <w:sz w:val="18"/>
                      <w:szCs w:val="18"/>
                    </w:rPr>
                    <w:t>cld@ecu.edu.au</w:t>
                  </w:r>
                </w:hyperlink>
                <w:r w:rsidRPr="00B33DDD">
                  <w:rPr>
                    <w:rFonts w:ascii="Arial" w:hAnsi="Arial"/>
                    <w:color w:val="FFFFFF"/>
                    <w:sz w:val="18"/>
                    <w:szCs w:val="18"/>
                  </w:rPr>
                  <w:t xml:space="preserve">   |   Web:  http://intranet.ecu.edu.au/learning/overview</w:t>
                </w:r>
              </w:p>
            </w:txbxContent>
          </v:textbox>
          <w10:wrap type="through"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0C" w:rsidRDefault="00B6400C" w:rsidP="0009199F">
      <w:pPr>
        <w:spacing w:after="0" w:line="240" w:lineRule="auto"/>
      </w:pPr>
      <w:r>
        <w:separator/>
      </w:r>
    </w:p>
  </w:footnote>
  <w:footnote w:type="continuationSeparator" w:id="0">
    <w:p w:rsidR="00B6400C" w:rsidRDefault="00B6400C" w:rsidP="0009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B6400C" w:rsidRDefault="00AA1297" w:rsidP="001A0424">
    <w:pPr>
      <w:pStyle w:val="Header"/>
    </w:pPr>
    <w:r>
      <w:rPr>
        <w:noProof/>
        <w:lang w:eastAsia="en-AU"/>
      </w:rPr>
      <w:pict>
        <v:group id="_x0000_s2057" style="position:absolute;margin-left:-11pt;margin-top:-14.45pt;width:451pt;height:63.2pt;z-index:251663360" coordorigin="425,425" coordsize="9354,1264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2058" type="#_x0000_t202" style="position:absolute;left:425;top:425;width:9354;height:1264;mso-wrap-edited:f;mso-position-horizontal-relative:page;mso-position-vertical-relative:page" wrapcoords="0 0 21600 0 21600 21600 0 21600 0 0" fillcolor="#6693b6" stroked="f" strokecolor="#bfbfbf" strokeweight=".5pt">
            <v:fill o:detectmouseclick="t"/>
            <v:textbox style="mso-next-textbox:#_x0000_s2058" inset="5mm,8mm,5mm,5mm">
              <w:txbxContent>
                <w:p w:rsidR="00B6400C" w:rsidRPr="001C1EDC" w:rsidRDefault="00B6400C" w:rsidP="001A0424">
                  <w:pPr>
                    <w:jc w:val="right"/>
                    <w:rPr>
                      <w:rFonts w:ascii="Arial" w:hAnsi="Arial"/>
                      <w:sz w:val="72"/>
                    </w:rPr>
                  </w:pPr>
                </w:p>
              </w:txbxContent>
            </v:textbox>
          </v:shape>
          <v:shape id="_x0000_s2059" type="#_x0000_t202" style="position:absolute;left:756;top:1021;width:6480;height:540" filled="f" stroked="f">
            <v:textbox style="mso-next-textbox:#_x0000_s2059">
              <w:txbxContent>
                <w:p w:rsidR="00B6400C" w:rsidRPr="003E0F9C" w:rsidRDefault="00B6400C" w:rsidP="001A0424">
                  <w:pPr>
                    <w:rPr>
                      <w:rFonts w:ascii="Arial" w:hAnsi="Arial" w:cs="Arial"/>
                      <w:color w:val="262626"/>
                      <w:sz w:val="24"/>
                      <w:szCs w:val="24"/>
                    </w:rPr>
                  </w:pPr>
                  <w:r w:rsidRPr="003E0F9C">
                    <w:rPr>
                      <w:rFonts w:ascii="Arial" w:hAnsi="Arial" w:cs="Arial"/>
                      <w:color w:val="262626"/>
                      <w:sz w:val="24"/>
                      <w:szCs w:val="24"/>
                    </w:rPr>
                    <w:t>Centre for Learning and Development</w:t>
                  </w:r>
                </w:p>
                <w:p w:rsidR="00B6400C" w:rsidRPr="0009049F" w:rsidRDefault="00B6400C" w:rsidP="001A0424">
                  <w:pPr>
                    <w:rPr>
                      <w:rFonts w:ascii="Arial" w:hAnsi="Arial" w:cs="Arial"/>
                      <w:color w:val="262626"/>
                    </w:rPr>
                  </w:pPr>
                </w:p>
              </w:txbxContent>
            </v:textbox>
          </v:shape>
          <v:shape id="_x0000_s2060" type="#_x0000_t202" style="position:absolute;left:794;top:680;width:6480;height:540;mso-wrap-edited:f;mso-position-horizontal-relative:page;mso-position-vertical-relative:page" wrapcoords="0 0 21600 0 21600 21600 0 21600 0 0" filled="f" stroked="f">
            <v:textbox style="mso-next-textbox:#_x0000_s2060">
              <w:txbxContent>
                <w:p w:rsidR="00B6400C" w:rsidRPr="0009049F" w:rsidRDefault="00B6400C" w:rsidP="001A0424">
                  <w:pPr>
                    <w:rPr>
                      <w:rFonts w:ascii="Arial Bold" w:hAnsi="Arial Bold" w:cs="Arial"/>
                      <w:color w:val="262626"/>
                      <w:sz w:val="26"/>
                    </w:rPr>
                  </w:pPr>
                  <w:r w:rsidRPr="0009049F">
                    <w:rPr>
                      <w:rFonts w:ascii="Arial Bold" w:hAnsi="Arial Bold" w:cs="Arial"/>
                      <w:color w:val="262626"/>
                      <w:sz w:val="26"/>
                    </w:rPr>
                    <w:t>Edith Cowan University</w:t>
                  </w:r>
                </w:p>
              </w:txbxContent>
            </v:textbox>
          </v:shape>
        </v:group>
      </w:pict>
    </w:r>
    <w:r w:rsidR="00B6400C" w:rsidRPr="0009199F"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6210300</wp:posOffset>
          </wp:positionH>
          <wp:positionV relativeFrom="page">
            <wp:posOffset>266700</wp:posOffset>
          </wp:positionV>
          <wp:extent cx="1080135" cy="800100"/>
          <wp:effectExtent l="19050" t="0" r="5715" b="0"/>
          <wp:wrapNone/>
          <wp:docPr id="7" name="Picture 7" descr="ECU_AUS_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CU_AUS_logo_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6400C" w:rsidRPr="001A0424" w:rsidRDefault="00B6400C" w:rsidP="001A042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D60ED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6E2F0A"/>
    <w:multiLevelType w:val="hybridMultilevel"/>
    <w:tmpl w:val="7D16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BD25B"/>
    <w:multiLevelType w:val="hybridMultilevel"/>
    <w:tmpl w:val="0A9BCB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68E5004"/>
    <w:multiLevelType w:val="multilevel"/>
    <w:tmpl w:val="4BEE6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8175A"/>
    <w:multiLevelType w:val="hybridMultilevel"/>
    <w:tmpl w:val="2B2C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BB323A"/>
    <w:multiLevelType w:val="hybridMultilevel"/>
    <w:tmpl w:val="4BEE6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D4860"/>
    <w:multiLevelType w:val="hybridMultilevel"/>
    <w:tmpl w:val="7FC8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37103"/>
    <w:multiLevelType w:val="hybridMultilevel"/>
    <w:tmpl w:val="BE5C72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4E73B81"/>
    <w:multiLevelType w:val="hybridMultilevel"/>
    <w:tmpl w:val="EA08BE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1775C5"/>
    <w:multiLevelType w:val="hybridMultilevel"/>
    <w:tmpl w:val="D0F84A9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3137837"/>
    <w:multiLevelType w:val="hybridMultilevel"/>
    <w:tmpl w:val="3B78C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12"/>
  </w:num>
  <w:num w:numId="8">
    <w:abstractNumId w:val="0"/>
  </w:num>
  <w:num w:numId="9">
    <w:abstractNumId w:val="3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F3A"/>
    <w:rsid w:val="00014E79"/>
    <w:rsid w:val="00067915"/>
    <w:rsid w:val="000712C6"/>
    <w:rsid w:val="0009199F"/>
    <w:rsid w:val="000A02E5"/>
    <w:rsid w:val="000A4443"/>
    <w:rsid w:val="000A77A4"/>
    <w:rsid w:val="000C33D5"/>
    <w:rsid w:val="000D1257"/>
    <w:rsid w:val="000D3FB0"/>
    <w:rsid w:val="000E6BDF"/>
    <w:rsid w:val="00110CE7"/>
    <w:rsid w:val="0014453E"/>
    <w:rsid w:val="00146647"/>
    <w:rsid w:val="0018475D"/>
    <w:rsid w:val="001A0424"/>
    <w:rsid w:val="001A49D4"/>
    <w:rsid w:val="001F7ED8"/>
    <w:rsid w:val="00222840"/>
    <w:rsid w:val="00231BDD"/>
    <w:rsid w:val="0026276A"/>
    <w:rsid w:val="00266D60"/>
    <w:rsid w:val="00291E36"/>
    <w:rsid w:val="002D10F8"/>
    <w:rsid w:val="00342CCF"/>
    <w:rsid w:val="0036045E"/>
    <w:rsid w:val="0036295B"/>
    <w:rsid w:val="003717FA"/>
    <w:rsid w:val="00375ADC"/>
    <w:rsid w:val="00380048"/>
    <w:rsid w:val="003933F9"/>
    <w:rsid w:val="003A2957"/>
    <w:rsid w:val="003B6F99"/>
    <w:rsid w:val="003C196B"/>
    <w:rsid w:val="003D0E5F"/>
    <w:rsid w:val="0040131D"/>
    <w:rsid w:val="004216E5"/>
    <w:rsid w:val="00426A9F"/>
    <w:rsid w:val="00473BDC"/>
    <w:rsid w:val="004744B0"/>
    <w:rsid w:val="004B41E0"/>
    <w:rsid w:val="004B4A0E"/>
    <w:rsid w:val="004C1019"/>
    <w:rsid w:val="004C50A8"/>
    <w:rsid w:val="004E4B5B"/>
    <w:rsid w:val="00510A02"/>
    <w:rsid w:val="00510E19"/>
    <w:rsid w:val="005170E7"/>
    <w:rsid w:val="00537541"/>
    <w:rsid w:val="00540DDC"/>
    <w:rsid w:val="00542280"/>
    <w:rsid w:val="00545A45"/>
    <w:rsid w:val="00551E63"/>
    <w:rsid w:val="00554704"/>
    <w:rsid w:val="00564A7E"/>
    <w:rsid w:val="00591CFA"/>
    <w:rsid w:val="005B1D65"/>
    <w:rsid w:val="005B522B"/>
    <w:rsid w:val="005C5852"/>
    <w:rsid w:val="005E43DB"/>
    <w:rsid w:val="005F3E6F"/>
    <w:rsid w:val="00622062"/>
    <w:rsid w:val="006353F4"/>
    <w:rsid w:val="00636F25"/>
    <w:rsid w:val="00642F3A"/>
    <w:rsid w:val="00650AD6"/>
    <w:rsid w:val="006573F8"/>
    <w:rsid w:val="00657FCF"/>
    <w:rsid w:val="0066525E"/>
    <w:rsid w:val="00670737"/>
    <w:rsid w:val="00672026"/>
    <w:rsid w:val="006856AB"/>
    <w:rsid w:val="0069105B"/>
    <w:rsid w:val="006C4351"/>
    <w:rsid w:val="006C7AE5"/>
    <w:rsid w:val="006E60C5"/>
    <w:rsid w:val="006F57AA"/>
    <w:rsid w:val="006F7DBE"/>
    <w:rsid w:val="00704C7C"/>
    <w:rsid w:val="00736DF6"/>
    <w:rsid w:val="007662FB"/>
    <w:rsid w:val="00772E0A"/>
    <w:rsid w:val="007967F8"/>
    <w:rsid w:val="007A43F1"/>
    <w:rsid w:val="007A7DFE"/>
    <w:rsid w:val="007B114D"/>
    <w:rsid w:val="007B44F3"/>
    <w:rsid w:val="007C28CD"/>
    <w:rsid w:val="007D26D3"/>
    <w:rsid w:val="007D3561"/>
    <w:rsid w:val="007E1248"/>
    <w:rsid w:val="008037EC"/>
    <w:rsid w:val="00810AE4"/>
    <w:rsid w:val="008147B8"/>
    <w:rsid w:val="008221F1"/>
    <w:rsid w:val="008347D2"/>
    <w:rsid w:val="00854BD9"/>
    <w:rsid w:val="008925EA"/>
    <w:rsid w:val="008C0D1A"/>
    <w:rsid w:val="008C2D74"/>
    <w:rsid w:val="008E6B45"/>
    <w:rsid w:val="008F4A45"/>
    <w:rsid w:val="00906236"/>
    <w:rsid w:val="009215A9"/>
    <w:rsid w:val="00984C83"/>
    <w:rsid w:val="009853B7"/>
    <w:rsid w:val="00987A0C"/>
    <w:rsid w:val="009A403D"/>
    <w:rsid w:val="009A7C12"/>
    <w:rsid w:val="009D0F2D"/>
    <w:rsid w:val="00A13306"/>
    <w:rsid w:val="00A25AF4"/>
    <w:rsid w:val="00A36E90"/>
    <w:rsid w:val="00A42C99"/>
    <w:rsid w:val="00A44484"/>
    <w:rsid w:val="00A467B7"/>
    <w:rsid w:val="00A65C47"/>
    <w:rsid w:val="00AA1297"/>
    <w:rsid w:val="00AA61C6"/>
    <w:rsid w:val="00AB3FD8"/>
    <w:rsid w:val="00AB5E3E"/>
    <w:rsid w:val="00AD4E29"/>
    <w:rsid w:val="00B102CF"/>
    <w:rsid w:val="00B16516"/>
    <w:rsid w:val="00B36365"/>
    <w:rsid w:val="00B57772"/>
    <w:rsid w:val="00B6400C"/>
    <w:rsid w:val="00B80EF6"/>
    <w:rsid w:val="00B956A1"/>
    <w:rsid w:val="00BA13E8"/>
    <w:rsid w:val="00BA6F93"/>
    <w:rsid w:val="00BF18EB"/>
    <w:rsid w:val="00BF6E38"/>
    <w:rsid w:val="00C02AFB"/>
    <w:rsid w:val="00C0504D"/>
    <w:rsid w:val="00C44F3B"/>
    <w:rsid w:val="00C73FDD"/>
    <w:rsid w:val="00C86EF2"/>
    <w:rsid w:val="00C914E0"/>
    <w:rsid w:val="00CA2A7B"/>
    <w:rsid w:val="00CB6B4C"/>
    <w:rsid w:val="00CD23FE"/>
    <w:rsid w:val="00CD2B32"/>
    <w:rsid w:val="00CE5DBC"/>
    <w:rsid w:val="00CF01BC"/>
    <w:rsid w:val="00CF07F6"/>
    <w:rsid w:val="00D04BCF"/>
    <w:rsid w:val="00D31E73"/>
    <w:rsid w:val="00D37EAD"/>
    <w:rsid w:val="00D410D8"/>
    <w:rsid w:val="00D44B79"/>
    <w:rsid w:val="00D4676B"/>
    <w:rsid w:val="00D56154"/>
    <w:rsid w:val="00D92071"/>
    <w:rsid w:val="00D92BA8"/>
    <w:rsid w:val="00DA2E04"/>
    <w:rsid w:val="00E05627"/>
    <w:rsid w:val="00E75D54"/>
    <w:rsid w:val="00EA7D33"/>
    <w:rsid w:val="00EB0712"/>
    <w:rsid w:val="00ED7276"/>
    <w:rsid w:val="00EE1490"/>
    <w:rsid w:val="00EE3032"/>
    <w:rsid w:val="00F1255D"/>
    <w:rsid w:val="00F22BC0"/>
    <w:rsid w:val="00F246D2"/>
    <w:rsid w:val="00F257F8"/>
    <w:rsid w:val="00F274D3"/>
    <w:rsid w:val="00F41A0D"/>
    <w:rsid w:val="00F863B9"/>
    <w:rsid w:val="00FB1778"/>
    <w:rsid w:val="00FB3456"/>
    <w:rsid w:val="00F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53E"/>
  </w:style>
  <w:style w:type="paragraph" w:styleId="Heading1">
    <w:name w:val="heading 1"/>
    <w:basedOn w:val="Normal"/>
    <w:next w:val="Normal"/>
    <w:link w:val="Heading1Char"/>
    <w:uiPriority w:val="9"/>
    <w:qFormat/>
    <w:rsid w:val="003D0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E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0E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E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18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31E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aps">
    <w:name w:val="caps"/>
    <w:basedOn w:val="DefaultParagraphFont"/>
    <w:rsid w:val="00650AD6"/>
  </w:style>
  <w:style w:type="paragraph" w:styleId="Header">
    <w:name w:val="header"/>
    <w:basedOn w:val="Normal"/>
    <w:link w:val="HeaderChar"/>
    <w:uiPriority w:val="99"/>
    <w:unhideWhenUsed/>
    <w:rsid w:val="0009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9F"/>
  </w:style>
  <w:style w:type="paragraph" w:styleId="Footer">
    <w:name w:val="footer"/>
    <w:basedOn w:val="Normal"/>
    <w:link w:val="FooterChar"/>
    <w:uiPriority w:val="99"/>
    <w:unhideWhenUsed/>
    <w:rsid w:val="0009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9F"/>
  </w:style>
  <w:style w:type="paragraph" w:styleId="BodyText">
    <w:name w:val="Body Text"/>
    <w:basedOn w:val="Normal"/>
    <w:link w:val="BodyTextChar"/>
    <w:rsid w:val="00984C83"/>
    <w:pPr>
      <w:spacing w:before="120" w:after="120"/>
    </w:pPr>
    <w:rPr>
      <w:rFonts w:ascii="Cambria" w:eastAsia="Times New Roman" w:hAnsi="Cambria" w:cs="Times New Roman"/>
      <w:color w:val="262626"/>
      <w:sz w:val="20"/>
      <w:szCs w:val="20"/>
      <w:lang w:eastAsia="en-AU" w:bidi="en-US"/>
    </w:rPr>
  </w:style>
  <w:style w:type="character" w:customStyle="1" w:styleId="BodyTextChar">
    <w:name w:val="Body Text Char"/>
    <w:basedOn w:val="DefaultParagraphFont"/>
    <w:link w:val="BodyText"/>
    <w:rsid w:val="00984C83"/>
    <w:rPr>
      <w:rFonts w:ascii="Cambria" w:eastAsia="Times New Roman" w:hAnsi="Cambria" w:cs="Times New Roman"/>
      <w:color w:val="262626"/>
      <w:sz w:val="20"/>
      <w:szCs w:val="20"/>
      <w:lang w:eastAsia="en-AU" w:bidi="en-US"/>
    </w:rPr>
  </w:style>
  <w:style w:type="paragraph" w:customStyle="1" w:styleId="Default">
    <w:name w:val="Default"/>
    <w:rsid w:val="00984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345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6295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A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0E5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0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0E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91E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1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91E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F18EB"/>
    <w:rPr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8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8EB"/>
    <w:rPr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F18E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Bullet">
    <w:name w:val="List Bullet"/>
    <w:basedOn w:val="Normal"/>
    <w:uiPriority w:val="99"/>
    <w:unhideWhenUsed/>
    <w:rsid w:val="00551E63"/>
    <w:pPr>
      <w:numPr>
        <w:numId w:val="8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1E63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D31E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34393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0043">
          <w:marLeft w:val="0"/>
          <w:marRight w:val="0"/>
          <w:marTop w:val="480"/>
          <w:marBottom w:val="0"/>
          <w:divBdr>
            <w:top w:val="single" w:sz="2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5051">
                  <w:marLeft w:val="0"/>
                  <w:marRight w:val="0"/>
                  <w:marTop w:val="4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7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1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2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6612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26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213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intranet.ecu.edu.au/learning/for-academic-staff/guides-handbooks-and-tip-sheets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d@ecu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C792B0-3EF6-7C41-8AA3-1E214D85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5255</Characters>
  <Application>Microsoft Macintosh Word</Application>
  <DocSecurity>4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What are graduate attributes?</vt:lpstr>
      <vt:lpstr>What does it mean to be an effective communicator?</vt:lpstr>
      <vt:lpstr>How do I develop this attribute in my unit?</vt:lpstr>
      <vt:lpstr>Where can I learn more about Graduate Attributes?</vt:lpstr>
      <vt:lpstr>    Recommended Reading:</vt:lpstr>
    </vt:vector>
  </TitlesOfParts>
  <Company>Edith Cowan University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Mathilda M Joubert</dc:creator>
  <cp:lastModifiedBy>ITSC</cp:lastModifiedBy>
  <cp:revision>2</cp:revision>
  <cp:lastPrinted>2013-03-07T04:56:00Z</cp:lastPrinted>
  <dcterms:created xsi:type="dcterms:W3CDTF">2013-03-11T06:37:00Z</dcterms:created>
  <dcterms:modified xsi:type="dcterms:W3CDTF">2013-03-11T06:37:00Z</dcterms:modified>
</cp:coreProperties>
</file>