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36B8" w14:textId="77777777" w:rsidR="00455EC2" w:rsidRDefault="4367C4F2" w:rsidP="00D55CEB">
      <w:pPr>
        <w:spacing w:after="0"/>
        <w:jc w:val="center"/>
        <w:rPr>
          <w:rFonts w:ascii="Arial" w:hAnsi="Arial" w:cs="Arial"/>
          <w:b/>
          <w:bCs/>
          <w:sz w:val="28"/>
          <w:szCs w:val="28"/>
        </w:rPr>
      </w:pPr>
      <w:r w:rsidRPr="4367C4F2">
        <w:rPr>
          <w:rFonts w:ascii="Arial" w:hAnsi="Arial" w:cs="Arial"/>
          <w:b/>
          <w:bCs/>
          <w:sz w:val="28"/>
          <w:szCs w:val="28"/>
        </w:rPr>
        <w:t xml:space="preserve">ECU Strategic Research </w:t>
      </w:r>
      <w:r w:rsidR="00D55CEB">
        <w:rPr>
          <w:rFonts w:ascii="Arial" w:hAnsi="Arial" w:cs="Arial"/>
          <w:b/>
          <w:bCs/>
          <w:sz w:val="28"/>
          <w:szCs w:val="28"/>
        </w:rPr>
        <w:t xml:space="preserve">Centre Application 2023 </w:t>
      </w:r>
    </w:p>
    <w:p w14:paraId="095B3B96" w14:textId="7A13DCE9" w:rsidR="00697E4A" w:rsidRDefault="00D55CEB" w:rsidP="00D55CEB">
      <w:pPr>
        <w:spacing w:after="0"/>
        <w:jc w:val="center"/>
        <w:rPr>
          <w:rFonts w:ascii="Arial" w:hAnsi="Arial" w:cs="Arial"/>
          <w:b/>
          <w:bCs/>
          <w:sz w:val="28"/>
          <w:szCs w:val="28"/>
        </w:rPr>
      </w:pPr>
      <w:r>
        <w:rPr>
          <w:rFonts w:ascii="Arial" w:hAnsi="Arial" w:cs="Arial"/>
          <w:b/>
          <w:bCs/>
          <w:sz w:val="28"/>
          <w:szCs w:val="28"/>
        </w:rPr>
        <w:t>Funding Guidance</w:t>
      </w:r>
    </w:p>
    <w:p w14:paraId="0F89C286" w14:textId="75055F21" w:rsidR="562087E7" w:rsidRDefault="562087E7" w:rsidP="562087E7">
      <w:pPr>
        <w:spacing w:after="0"/>
        <w:jc w:val="center"/>
        <w:rPr>
          <w:rFonts w:ascii="Arial" w:hAnsi="Arial" w:cs="Arial"/>
          <w:b/>
          <w:bCs/>
          <w:sz w:val="28"/>
          <w:szCs w:val="28"/>
        </w:rPr>
      </w:pPr>
    </w:p>
    <w:p w14:paraId="095B3B99" w14:textId="3A5A65E1" w:rsidR="00653E36" w:rsidRPr="009E5BDB" w:rsidRDefault="00156269" w:rsidP="00FF05B8">
      <w:pPr>
        <w:pStyle w:val="Heading2"/>
        <w:rPr>
          <w:rFonts w:ascii="Arial" w:hAnsi="Arial" w:cs="Arial"/>
          <w:sz w:val="24"/>
          <w:szCs w:val="24"/>
        </w:rPr>
      </w:pPr>
      <w:r w:rsidRPr="2AF4BF09">
        <w:rPr>
          <w:rFonts w:ascii="Arial" w:hAnsi="Arial" w:cs="Arial"/>
          <w:sz w:val="24"/>
          <w:szCs w:val="24"/>
        </w:rPr>
        <w:t xml:space="preserve">Purpose </w:t>
      </w:r>
      <w:r w:rsidR="63CEAD4D" w:rsidRPr="2AF4BF09">
        <w:rPr>
          <w:rFonts w:ascii="Arial" w:hAnsi="Arial" w:cs="Arial"/>
          <w:sz w:val="24"/>
          <w:szCs w:val="24"/>
        </w:rPr>
        <w:t xml:space="preserve"> </w:t>
      </w:r>
    </w:p>
    <w:p w14:paraId="129929CE" w14:textId="1310FA93" w:rsidR="00476F0D" w:rsidRDefault="008C4FA2" w:rsidP="562087E7">
      <w:pPr>
        <w:spacing w:after="0" w:line="240" w:lineRule="auto"/>
        <w:rPr>
          <w:rFonts w:ascii="Arial" w:hAnsi="Arial" w:cs="Arial"/>
          <w:sz w:val="20"/>
          <w:szCs w:val="20"/>
        </w:rPr>
      </w:pPr>
      <w:r>
        <w:rPr>
          <w:rFonts w:ascii="Arial" w:hAnsi="Arial" w:cs="Arial"/>
          <w:sz w:val="20"/>
          <w:szCs w:val="20"/>
        </w:rPr>
        <w:t xml:space="preserve">ECU Strategic Research Institutes and Centres are </w:t>
      </w:r>
      <w:r w:rsidR="00806AD3">
        <w:rPr>
          <w:rFonts w:ascii="Arial" w:hAnsi="Arial" w:cs="Arial"/>
          <w:sz w:val="20"/>
          <w:szCs w:val="20"/>
        </w:rPr>
        <w:t xml:space="preserve">supported by </w:t>
      </w:r>
      <w:r w:rsidR="008C54A8">
        <w:rPr>
          <w:rFonts w:ascii="Arial" w:hAnsi="Arial" w:cs="Arial"/>
          <w:sz w:val="20"/>
          <w:szCs w:val="20"/>
        </w:rPr>
        <w:t>Schools and the Strategic Research Fund</w:t>
      </w:r>
      <w:r w:rsidR="0007624D">
        <w:rPr>
          <w:rFonts w:ascii="Arial" w:hAnsi="Arial" w:cs="Arial"/>
          <w:sz w:val="20"/>
          <w:szCs w:val="20"/>
        </w:rPr>
        <w:t xml:space="preserve"> (SRF)</w:t>
      </w:r>
      <w:r w:rsidR="008C54A8">
        <w:rPr>
          <w:rFonts w:ascii="Arial" w:hAnsi="Arial" w:cs="Arial"/>
          <w:sz w:val="20"/>
          <w:szCs w:val="20"/>
        </w:rPr>
        <w:t xml:space="preserve">. </w:t>
      </w:r>
      <w:r w:rsidR="002B450A">
        <w:rPr>
          <w:rFonts w:ascii="Arial" w:hAnsi="Arial" w:cs="Arial"/>
          <w:sz w:val="20"/>
          <w:szCs w:val="20"/>
        </w:rPr>
        <w:t>Th</w:t>
      </w:r>
      <w:r w:rsidR="00675B81">
        <w:rPr>
          <w:rFonts w:ascii="Arial" w:hAnsi="Arial" w:cs="Arial"/>
          <w:sz w:val="20"/>
          <w:szCs w:val="20"/>
        </w:rPr>
        <w:t>is document</w:t>
      </w:r>
      <w:r w:rsidR="002B450A">
        <w:rPr>
          <w:rFonts w:ascii="Arial" w:hAnsi="Arial" w:cs="Arial"/>
          <w:sz w:val="20"/>
          <w:szCs w:val="20"/>
        </w:rPr>
        <w:t xml:space="preserve"> provide</w:t>
      </w:r>
      <w:r w:rsidR="004E6242">
        <w:rPr>
          <w:rFonts w:ascii="Arial" w:hAnsi="Arial" w:cs="Arial"/>
          <w:sz w:val="20"/>
          <w:szCs w:val="20"/>
        </w:rPr>
        <w:t>s</w:t>
      </w:r>
      <w:r w:rsidR="002B450A">
        <w:rPr>
          <w:rFonts w:ascii="Arial" w:hAnsi="Arial" w:cs="Arial"/>
          <w:sz w:val="20"/>
          <w:szCs w:val="20"/>
        </w:rPr>
        <w:t xml:space="preserve"> guidance on</w:t>
      </w:r>
      <w:r w:rsidR="00CB6D28">
        <w:rPr>
          <w:rFonts w:ascii="Arial" w:hAnsi="Arial" w:cs="Arial"/>
          <w:sz w:val="20"/>
          <w:szCs w:val="20"/>
        </w:rPr>
        <w:t xml:space="preserve"> funding expectations </w:t>
      </w:r>
      <w:r w:rsidR="004902EA">
        <w:rPr>
          <w:rFonts w:ascii="Arial" w:hAnsi="Arial" w:cs="Arial"/>
          <w:sz w:val="20"/>
          <w:szCs w:val="20"/>
        </w:rPr>
        <w:t>and</w:t>
      </w:r>
      <w:r w:rsidR="002B450A">
        <w:rPr>
          <w:rFonts w:ascii="Arial" w:hAnsi="Arial" w:cs="Arial"/>
          <w:sz w:val="20"/>
          <w:szCs w:val="20"/>
        </w:rPr>
        <w:t xml:space="preserve"> what can and cannot be </w:t>
      </w:r>
      <w:r w:rsidR="00DD4A64">
        <w:rPr>
          <w:rFonts w:ascii="Arial" w:hAnsi="Arial" w:cs="Arial"/>
          <w:sz w:val="20"/>
          <w:szCs w:val="20"/>
        </w:rPr>
        <w:t xml:space="preserve">requested </w:t>
      </w:r>
      <w:r w:rsidR="00B517FA">
        <w:rPr>
          <w:rFonts w:ascii="Arial" w:hAnsi="Arial" w:cs="Arial"/>
          <w:sz w:val="20"/>
          <w:szCs w:val="20"/>
        </w:rPr>
        <w:t>through SRF ECU Strategic Research Institute and Centre</w:t>
      </w:r>
      <w:r w:rsidR="00007C30">
        <w:rPr>
          <w:rFonts w:ascii="Arial" w:hAnsi="Arial" w:cs="Arial"/>
          <w:sz w:val="20"/>
          <w:szCs w:val="20"/>
        </w:rPr>
        <w:t xml:space="preserve"> funding. </w:t>
      </w:r>
    </w:p>
    <w:p w14:paraId="0EFA45C8" w14:textId="77777777" w:rsidR="00EF1752" w:rsidRDefault="00EF1752" w:rsidP="007C22CF">
      <w:pPr>
        <w:spacing w:after="0" w:line="240" w:lineRule="auto"/>
        <w:rPr>
          <w:rFonts w:ascii="Arial" w:hAnsi="Arial" w:cs="Arial"/>
          <w:sz w:val="20"/>
          <w:szCs w:val="20"/>
        </w:rPr>
      </w:pPr>
    </w:p>
    <w:p w14:paraId="1EE2D93E" w14:textId="2DDBD291" w:rsidR="00EF1752" w:rsidRPr="00C17C65" w:rsidRDefault="00EF1752" w:rsidP="00EF1752">
      <w:pPr>
        <w:pStyle w:val="Heading2"/>
        <w:rPr>
          <w:rFonts w:ascii="Arial" w:hAnsi="Arial" w:cs="Arial"/>
          <w:sz w:val="24"/>
        </w:rPr>
      </w:pPr>
      <w:r>
        <w:rPr>
          <w:rFonts w:ascii="Arial" w:hAnsi="Arial" w:cs="Arial"/>
          <w:sz w:val="24"/>
        </w:rPr>
        <w:t xml:space="preserve">Expected </w:t>
      </w:r>
      <w:r>
        <w:rPr>
          <w:rFonts w:ascii="Arial" w:hAnsi="Arial" w:cs="Arial"/>
          <w:sz w:val="24"/>
        </w:rPr>
        <w:t xml:space="preserve">School co-investment </w:t>
      </w:r>
    </w:p>
    <w:p w14:paraId="720758B4" w14:textId="77777777" w:rsidR="00EF1752" w:rsidRPr="007C22CF" w:rsidRDefault="00EF1752" w:rsidP="007C22CF">
      <w:pPr>
        <w:spacing w:after="0" w:line="240" w:lineRule="auto"/>
        <w:rPr>
          <w:rFonts w:ascii="Arial" w:hAnsi="Arial" w:cs="Arial"/>
          <w:sz w:val="20"/>
          <w:szCs w:val="20"/>
        </w:rPr>
      </w:pPr>
    </w:p>
    <w:p w14:paraId="0AEA3E00" w14:textId="77777777" w:rsidR="003C3E4F" w:rsidRPr="003C3E4F" w:rsidRDefault="003C3E4F" w:rsidP="003C3E4F">
      <w:pPr>
        <w:spacing w:after="0" w:line="240" w:lineRule="auto"/>
        <w:rPr>
          <w:rFonts w:ascii="Arial" w:hAnsi="Arial" w:cs="Arial"/>
          <w:sz w:val="20"/>
          <w:szCs w:val="20"/>
        </w:rPr>
      </w:pPr>
      <w:bookmarkStart w:id="0" w:name="_Hlk125580604"/>
      <w:r w:rsidRPr="003C3E4F">
        <w:rPr>
          <w:rFonts w:ascii="Arial" w:hAnsi="Arial" w:cs="Arial"/>
          <w:sz w:val="20"/>
          <w:szCs w:val="20"/>
        </w:rPr>
        <w:t xml:space="preserve">The ECU Strategic Research Institute and Centre Scheme was established to support existing high-achieving research groups at ECU to grow in scale and performance. SRF funding is intended to increase investment towards a research area by providing additional funding on top of existing School funding towards a research group. The intention of this Scheme is </w:t>
      </w:r>
      <w:r w:rsidRPr="003C3E4F">
        <w:rPr>
          <w:rFonts w:ascii="Arial" w:hAnsi="Arial" w:cs="Arial"/>
          <w:b/>
          <w:bCs/>
          <w:sz w:val="20"/>
          <w:szCs w:val="20"/>
        </w:rPr>
        <w:t>not to cover existing School costs.</w:t>
      </w:r>
      <w:r w:rsidRPr="003C3E4F">
        <w:rPr>
          <w:rFonts w:ascii="Arial" w:hAnsi="Arial" w:cs="Arial"/>
          <w:sz w:val="20"/>
          <w:szCs w:val="20"/>
        </w:rPr>
        <w:t>   </w:t>
      </w:r>
    </w:p>
    <w:p w14:paraId="76CA634D" w14:textId="77777777" w:rsidR="003C3E4F" w:rsidRDefault="003C3E4F" w:rsidP="003C3E4F">
      <w:pPr>
        <w:pStyle w:val="paragraph"/>
        <w:spacing w:before="0" w:beforeAutospacing="0" w:after="0" w:afterAutospacing="0"/>
        <w:textAlignment w:val="baseline"/>
        <w:rPr>
          <w:rStyle w:val="eop"/>
          <w:rFonts w:ascii="Calibri" w:hAnsi="Calibri" w:cs="Calibri"/>
          <w:i/>
          <w:iCs/>
          <w:sz w:val="22"/>
          <w:szCs w:val="22"/>
        </w:rPr>
      </w:pPr>
    </w:p>
    <w:p w14:paraId="184C70B1" w14:textId="77777777" w:rsidR="003C3E4F" w:rsidRDefault="003C3E4F" w:rsidP="003C3E4F">
      <w:pPr>
        <w:spacing w:after="0" w:line="240" w:lineRule="auto"/>
        <w:rPr>
          <w:rFonts w:ascii="Arial" w:hAnsi="Arial" w:cs="Arial"/>
          <w:sz w:val="20"/>
          <w:szCs w:val="20"/>
        </w:rPr>
      </w:pPr>
      <w:r>
        <w:rPr>
          <w:rFonts w:ascii="Arial" w:hAnsi="Arial" w:cs="Arial"/>
          <w:sz w:val="20"/>
          <w:szCs w:val="20"/>
        </w:rPr>
        <w:t xml:space="preserve">Note that the Deputy Vice-Chancellor (Research) will be more willing to allocate greater SRF funding to </w:t>
      </w:r>
      <w:r w:rsidRPr="19BBB3FD">
        <w:rPr>
          <w:rFonts w:ascii="Arial" w:hAnsi="Arial" w:cs="Arial"/>
          <w:sz w:val="20"/>
          <w:szCs w:val="20"/>
        </w:rPr>
        <w:t xml:space="preserve">ECU Strategic Research </w:t>
      </w:r>
      <w:r>
        <w:rPr>
          <w:rFonts w:ascii="Arial" w:hAnsi="Arial" w:cs="Arial"/>
          <w:sz w:val="20"/>
          <w:szCs w:val="20"/>
        </w:rPr>
        <w:t xml:space="preserve">Centres where Schools(s) are strongly co-investing, either through in-kind, or cash contributions. </w:t>
      </w:r>
    </w:p>
    <w:bookmarkEnd w:id="0"/>
    <w:p w14:paraId="095B3BA9" w14:textId="52491ABC" w:rsidR="008E3871" w:rsidRDefault="008E3871" w:rsidP="00FF05B8">
      <w:pPr>
        <w:pStyle w:val="Heading2"/>
        <w:rPr>
          <w:rFonts w:ascii="Arial" w:hAnsi="Arial" w:cs="Arial"/>
          <w:sz w:val="24"/>
        </w:rPr>
      </w:pPr>
    </w:p>
    <w:p w14:paraId="598FD278" w14:textId="7D8EA0D1" w:rsidR="00DB4312" w:rsidRPr="00C17C65" w:rsidRDefault="00DB4312" w:rsidP="00DB4312">
      <w:pPr>
        <w:pStyle w:val="Heading2"/>
        <w:rPr>
          <w:rFonts w:ascii="Arial" w:hAnsi="Arial" w:cs="Arial"/>
          <w:sz w:val="24"/>
        </w:rPr>
      </w:pPr>
      <w:r>
        <w:rPr>
          <w:rFonts w:ascii="Arial" w:hAnsi="Arial" w:cs="Arial"/>
          <w:sz w:val="24"/>
        </w:rPr>
        <w:t xml:space="preserve">Expected development of financial sustainability </w:t>
      </w:r>
    </w:p>
    <w:p w14:paraId="350537FB" w14:textId="6FF46FD1" w:rsidR="00344EA8" w:rsidRDefault="008A2DD0" w:rsidP="001A5652">
      <w:pPr>
        <w:rPr>
          <w:rFonts w:ascii="Arial" w:hAnsi="Arial" w:cs="Arial"/>
          <w:sz w:val="20"/>
          <w:szCs w:val="20"/>
        </w:rPr>
      </w:pPr>
      <w:r>
        <w:rPr>
          <w:rFonts w:ascii="Arial" w:hAnsi="Arial" w:cs="Arial"/>
          <w:sz w:val="20"/>
          <w:szCs w:val="20"/>
        </w:rPr>
        <w:t xml:space="preserve">A major purpose of SRF funding is to enable groups to become finally sustainable through attracting and leveraging additional external research income. </w:t>
      </w:r>
      <w:r w:rsidR="00CE0424">
        <w:rPr>
          <w:rFonts w:ascii="Arial" w:hAnsi="Arial" w:cs="Arial"/>
          <w:sz w:val="20"/>
        </w:rPr>
        <w:t>An</w:t>
      </w:r>
      <w:r w:rsidR="00CE0424" w:rsidRPr="4B2E5ABA">
        <w:rPr>
          <w:rFonts w:ascii="Arial" w:hAnsi="Arial" w:cs="Arial"/>
          <w:sz w:val="20"/>
          <w:szCs w:val="20"/>
        </w:rPr>
        <w:t xml:space="preserve"> </w:t>
      </w:r>
      <w:bookmarkStart w:id="1" w:name="_Hlk126490963"/>
      <w:r w:rsidR="00CE0424" w:rsidRPr="4B2E5ABA">
        <w:rPr>
          <w:rFonts w:ascii="Arial" w:hAnsi="Arial" w:cs="Arial"/>
          <w:sz w:val="20"/>
          <w:szCs w:val="20"/>
        </w:rPr>
        <w:t>ECU Strategic Researc</w:t>
      </w:r>
      <w:r w:rsidR="00CE0424">
        <w:rPr>
          <w:rFonts w:ascii="Arial" w:hAnsi="Arial" w:cs="Arial"/>
          <w:sz w:val="20"/>
          <w:szCs w:val="20"/>
        </w:rPr>
        <w:t>h</w:t>
      </w:r>
      <w:r w:rsidR="00CE0424" w:rsidRPr="4B2E5ABA">
        <w:rPr>
          <w:rFonts w:ascii="Arial" w:hAnsi="Arial" w:cs="Arial"/>
          <w:sz w:val="20"/>
          <w:szCs w:val="20"/>
        </w:rPr>
        <w:t xml:space="preserve"> Centre</w:t>
      </w:r>
      <w:r w:rsidR="00CE0424">
        <w:rPr>
          <w:rFonts w:ascii="Arial" w:hAnsi="Arial" w:cs="Arial"/>
          <w:sz w:val="20"/>
          <w:szCs w:val="20"/>
        </w:rPr>
        <w:t xml:space="preserve"> </w:t>
      </w:r>
      <w:bookmarkEnd w:id="1"/>
      <w:r w:rsidR="00CE0424">
        <w:rPr>
          <w:rFonts w:ascii="Arial" w:hAnsi="Arial" w:cs="Arial"/>
          <w:sz w:val="20"/>
          <w:szCs w:val="20"/>
        </w:rPr>
        <w:t>is expected to develop and implement plans for its financial sustainability in a way that does not just depend on SRF funding. It needs to do this by to attracting external research income to support its research endeavours.</w:t>
      </w:r>
    </w:p>
    <w:p w14:paraId="5DBD2509" w14:textId="635ACFEC" w:rsidR="00344EA8" w:rsidRDefault="00344EA8" w:rsidP="00344EA8">
      <w:pPr>
        <w:contextualSpacing/>
        <w:rPr>
          <w:rFonts w:ascii="Arial" w:hAnsi="Arial" w:cs="Arial"/>
          <w:sz w:val="20"/>
          <w:szCs w:val="20"/>
        </w:rPr>
      </w:pPr>
      <w:r>
        <w:rPr>
          <w:rFonts w:ascii="Arial" w:hAnsi="Arial" w:cs="Arial"/>
          <w:sz w:val="20"/>
          <w:szCs w:val="20"/>
        </w:rPr>
        <w:t>The table below gives a</w:t>
      </w:r>
      <w:r w:rsidR="00357128">
        <w:rPr>
          <w:rFonts w:ascii="Arial" w:hAnsi="Arial" w:cs="Arial"/>
          <w:sz w:val="20"/>
          <w:szCs w:val="20"/>
        </w:rPr>
        <w:t xml:space="preserve">n </w:t>
      </w:r>
      <w:r>
        <w:rPr>
          <w:rFonts w:ascii="Arial" w:hAnsi="Arial" w:cs="Arial"/>
          <w:sz w:val="20"/>
          <w:szCs w:val="20"/>
        </w:rPr>
        <w:t>example of expectations for a Centre that receives $200</w:t>
      </w:r>
      <w:r w:rsidR="00357128">
        <w:rPr>
          <w:rFonts w:ascii="Arial" w:hAnsi="Arial" w:cs="Arial"/>
          <w:sz w:val="20"/>
          <w:szCs w:val="20"/>
        </w:rPr>
        <w:t>,000</w:t>
      </w:r>
      <w:r>
        <w:rPr>
          <w:rFonts w:ascii="Arial" w:hAnsi="Arial" w:cs="Arial"/>
          <w:sz w:val="20"/>
          <w:szCs w:val="20"/>
        </w:rPr>
        <w:t xml:space="preserve"> p</w:t>
      </w:r>
      <w:r w:rsidR="00357128">
        <w:rPr>
          <w:rFonts w:ascii="Arial" w:hAnsi="Arial" w:cs="Arial"/>
          <w:sz w:val="20"/>
          <w:szCs w:val="20"/>
        </w:rPr>
        <w:t xml:space="preserve">er </w:t>
      </w:r>
      <w:r>
        <w:rPr>
          <w:rFonts w:ascii="Arial" w:hAnsi="Arial" w:cs="Arial"/>
          <w:sz w:val="20"/>
          <w:szCs w:val="20"/>
        </w:rPr>
        <w:t>a</w:t>
      </w:r>
      <w:r w:rsidR="00357128">
        <w:rPr>
          <w:rFonts w:ascii="Arial" w:hAnsi="Arial" w:cs="Arial"/>
          <w:sz w:val="20"/>
          <w:szCs w:val="20"/>
        </w:rPr>
        <w:t>nnum</w:t>
      </w:r>
      <w:r>
        <w:rPr>
          <w:rFonts w:ascii="Arial" w:hAnsi="Arial" w:cs="Arial"/>
          <w:sz w:val="20"/>
          <w:szCs w:val="20"/>
        </w:rPr>
        <w:t xml:space="preserve"> for three years from the SRF, with an additional $50</w:t>
      </w:r>
      <w:r w:rsidR="00357128">
        <w:rPr>
          <w:rFonts w:ascii="Arial" w:hAnsi="Arial" w:cs="Arial"/>
          <w:sz w:val="20"/>
          <w:szCs w:val="20"/>
        </w:rPr>
        <w:t>,000</w:t>
      </w:r>
      <w:r>
        <w:rPr>
          <w:rFonts w:ascii="Arial" w:hAnsi="Arial" w:cs="Arial"/>
          <w:sz w:val="20"/>
          <w:szCs w:val="20"/>
        </w:rPr>
        <w:t xml:space="preserve"> cash </w:t>
      </w:r>
      <w:r w:rsidR="00357128">
        <w:rPr>
          <w:rFonts w:ascii="Arial" w:hAnsi="Arial" w:cs="Arial"/>
          <w:sz w:val="20"/>
          <w:szCs w:val="20"/>
        </w:rPr>
        <w:t xml:space="preserve">investment </w:t>
      </w:r>
      <w:r>
        <w:rPr>
          <w:rFonts w:ascii="Arial" w:hAnsi="Arial" w:cs="Arial"/>
          <w:sz w:val="20"/>
          <w:szCs w:val="20"/>
        </w:rPr>
        <w:t>from their School.</w:t>
      </w:r>
    </w:p>
    <w:p w14:paraId="3C42BBB6" w14:textId="77777777" w:rsidR="00344EA8" w:rsidRDefault="00344EA8" w:rsidP="00344EA8">
      <w:pPr>
        <w:contextualSpacing/>
        <w:rPr>
          <w:rFonts w:ascii="Arial" w:hAnsi="Arial" w:cs="Arial"/>
          <w:sz w:val="20"/>
          <w:szCs w:val="20"/>
        </w:rPr>
      </w:pPr>
    </w:p>
    <w:tbl>
      <w:tblPr>
        <w:tblStyle w:val="TableGrid"/>
        <w:tblW w:w="0" w:type="auto"/>
        <w:tblLook w:val="04A0" w:firstRow="1" w:lastRow="0" w:firstColumn="1" w:lastColumn="0" w:noHBand="0" w:noVBand="1"/>
      </w:tblPr>
      <w:tblGrid>
        <w:gridCol w:w="1362"/>
        <w:gridCol w:w="1982"/>
        <w:gridCol w:w="1192"/>
        <w:gridCol w:w="1215"/>
        <w:gridCol w:w="1331"/>
        <w:gridCol w:w="1934"/>
      </w:tblGrid>
      <w:tr w:rsidR="00344EA8" w14:paraId="4258EE5A" w14:textId="77777777" w:rsidTr="00357128">
        <w:tc>
          <w:tcPr>
            <w:tcW w:w="846" w:type="dxa"/>
          </w:tcPr>
          <w:p w14:paraId="67280F1B" w14:textId="77777777" w:rsidR="00344EA8" w:rsidRDefault="00344EA8" w:rsidP="00A81002">
            <w:pPr>
              <w:contextualSpacing/>
              <w:rPr>
                <w:rFonts w:ascii="Arial" w:hAnsi="Arial" w:cs="Arial"/>
                <w:sz w:val="20"/>
              </w:rPr>
            </w:pPr>
          </w:p>
        </w:tc>
        <w:tc>
          <w:tcPr>
            <w:tcW w:w="2226" w:type="dxa"/>
          </w:tcPr>
          <w:p w14:paraId="06D85E6C" w14:textId="77777777" w:rsidR="00344EA8" w:rsidRDefault="00344EA8" w:rsidP="00A81002">
            <w:pPr>
              <w:contextualSpacing/>
              <w:rPr>
                <w:rFonts w:ascii="Arial" w:hAnsi="Arial" w:cs="Arial"/>
                <w:sz w:val="20"/>
              </w:rPr>
            </w:pPr>
          </w:p>
        </w:tc>
        <w:tc>
          <w:tcPr>
            <w:tcW w:w="1236" w:type="dxa"/>
          </w:tcPr>
          <w:p w14:paraId="35AB0005" w14:textId="77777777" w:rsidR="00344EA8" w:rsidRDefault="00344EA8" w:rsidP="00A81002">
            <w:pPr>
              <w:contextualSpacing/>
              <w:rPr>
                <w:rFonts w:ascii="Arial" w:hAnsi="Arial" w:cs="Arial"/>
                <w:sz w:val="20"/>
              </w:rPr>
            </w:pPr>
            <w:r>
              <w:rPr>
                <w:rFonts w:ascii="Arial" w:hAnsi="Arial" w:cs="Arial"/>
                <w:sz w:val="20"/>
              </w:rPr>
              <w:t>Year 1</w:t>
            </w:r>
          </w:p>
        </w:tc>
        <w:tc>
          <w:tcPr>
            <w:tcW w:w="1266" w:type="dxa"/>
          </w:tcPr>
          <w:p w14:paraId="7C2C8ECA" w14:textId="77777777" w:rsidR="00344EA8" w:rsidRDefault="00344EA8" w:rsidP="00A81002">
            <w:pPr>
              <w:contextualSpacing/>
              <w:rPr>
                <w:rFonts w:ascii="Arial" w:hAnsi="Arial" w:cs="Arial"/>
                <w:sz w:val="20"/>
              </w:rPr>
            </w:pPr>
            <w:r>
              <w:rPr>
                <w:rFonts w:ascii="Arial" w:hAnsi="Arial" w:cs="Arial"/>
                <w:sz w:val="20"/>
              </w:rPr>
              <w:t>Year 2</w:t>
            </w:r>
          </w:p>
        </w:tc>
        <w:tc>
          <w:tcPr>
            <w:tcW w:w="1367" w:type="dxa"/>
          </w:tcPr>
          <w:p w14:paraId="546EC674" w14:textId="77777777" w:rsidR="00344EA8" w:rsidRDefault="00344EA8" w:rsidP="00A81002">
            <w:pPr>
              <w:contextualSpacing/>
              <w:rPr>
                <w:rFonts w:ascii="Arial" w:hAnsi="Arial" w:cs="Arial"/>
                <w:sz w:val="20"/>
              </w:rPr>
            </w:pPr>
            <w:r>
              <w:rPr>
                <w:rFonts w:ascii="Arial" w:hAnsi="Arial" w:cs="Arial"/>
                <w:sz w:val="20"/>
              </w:rPr>
              <w:t>Year 3</w:t>
            </w:r>
          </w:p>
        </w:tc>
        <w:tc>
          <w:tcPr>
            <w:tcW w:w="2075" w:type="dxa"/>
          </w:tcPr>
          <w:p w14:paraId="38C03FB6" w14:textId="77777777" w:rsidR="00344EA8" w:rsidRDefault="00344EA8" w:rsidP="00A81002">
            <w:pPr>
              <w:contextualSpacing/>
              <w:rPr>
                <w:rFonts w:ascii="Arial" w:hAnsi="Arial" w:cs="Arial"/>
                <w:sz w:val="20"/>
              </w:rPr>
            </w:pPr>
          </w:p>
        </w:tc>
      </w:tr>
      <w:tr w:rsidR="00344EA8" w14:paraId="58D044A6" w14:textId="77777777" w:rsidTr="00357128">
        <w:tc>
          <w:tcPr>
            <w:tcW w:w="846" w:type="dxa"/>
            <w:vMerge w:val="restart"/>
          </w:tcPr>
          <w:p w14:paraId="68BCC63D" w14:textId="77777777" w:rsidR="00344EA8" w:rsidRDefault="00344EA8" w:rsidP="00A81002">
            <w:pPr>
              <w:contextualSpacing/>
              <w:rPr>
                <w:rFonts w:ascii="Arial" w:hAnsi="Arial" w:cs="Arial"/>
                <w:sz w:val="20"/>
              </w:rPr>
            </w:pPr>
            <w:r>
              <w:rPr>
                <w:rFonts w:ascii="Arial" w:hAnsi="Arial" w:cs="Arial"/>
                <w:sz w:val="20"/>
              </w:rPr>
              <w:t>ECU funding support</w:t>
            </w:r>
          </w:p>
        </w:tc>
        <w:tc>
          <w:tcPr>
            <w:tcW w:w="2226" w:type="dxa"/>
          </w:tcPr>
          <w:p w14:paraId="2D0E004E" w14:textId="77777777" w:rsidR="00344EA8" w:rsidRDefault="00344EA8" w:rsidP="00A81002">
            <w:pPr>
              <w:contextualSpacing/>
              <w:rPr>
                <w:rFonts w:ascii="Arial" w:hAnsi="Arial" w:cs="Arial"/>
                <w:sz w:val="20"/>
              </w:rPr>
            </w:pPr>
            <w:r>
              <w:rPr>
                <w:rFonts w:ascii="Arial" w:hAnsi="Arial" w:cs="Arial"/>
                <w:sz w:val="20"/>
              </w:rPr>
              <w:t>SRF funding through the ECUSRIC program</w:t>
            </w:r>
          </w:p>
        </w:tc>
        <w:tc>
          <w:tcPr>
            <w:tcW w:w="1236" w:type="dxa"/>
          </w:tcPr>
          <w:p w14:paraId="0D2E8AA1" w14:textId="77777777" w:rsidR="00344EA8" w:rsidRDefault="00344EA8" w:rsidP="00A81002">
            <w:pPr>
              <w:contextualSpacing/>
              <w:rPr>
                <w:rFonts w:ascii="Arial" w:hAnsi="Arial" w:cs="Arial"/>
                <w:sz w:val="20"/>
              </w:rPr>
            </w:pPr>
            <w:r>
              <w:rPr>
                <w:rFonts w:ascii="Arial" w:hAnsi="Arial" w:cs="Arial"/>
                <w:sz w:val="20"/>
              </w:rPr>
              <w:t>$200,000</w:t>
            </w:r>
          </w:p>
        </w:tc>
        <w:tc>
          <w:tcPr>
            <w:tcW w:w="1266" w:type="dxa"/>
          </w:tcPr>
          <w:p w14:paraId="4D88F13E" w14:textId="77777777" w:rsidR="00344EA8" w:rsidRDefault="00344EA8" w:rsidP="00A81002">
            <w:pPr>
              <w:contextualSpacing/>
              <w:rPr>
                <w:rFonts w:ascii="Arial" w:hAnsi="Arial" w:cs="Arial"/>
                <w:sz w:val="20"/>
              </w:rPr>
            </w:pPr>
            <w:r>
              <w:rPr>
                <w:rFonts w:ascii="Arial" w:hAnsi="Arial" w:cs="Arial"/>
                <w:sz w:val="20"/>
              </w:rPr>
              <w:t>$200,000</w:t>
            </w:r>
          </w:p>
        </w:tc>
        <w:tc>
          <w:tcPr>
            <w:tcW w:w="1367" w:type="dxa"/>
          </w:tcPr>
          <w:p w14:paraId="199BBE8D" w14:textId="77777777" w:rsidR="00344EA8" w:rsidRDefault="00344EA8" w:rsidP="00A81002">
            <w:pPr>
              <w:contextualSpacing/>
              <w:rPr>
                <w:rFonts w:ascii="Arial" w:hAnsi="Arial" w:cs="Arial"/>
                <w:sz w:val="20"/>
              </w:rPr>
            </w:pPr>
            <w:r>
              <w:rPr>
                <w:rFonts w:ascii="Arial" w:hAnsi="Arial" w:cs="Arial"/>
                <w:sz w:val="20"/>
              </w:rPr>
              <w:t>$200,000</w:t>
            </w:r>
          </w:p>
        </w:tc>
        <w:tc>
          <w:tcPr>
            <w:tcW w:w="2075" w:type="dxa"/>
          </w:tcPr>
          <w:p w14:paraId="06E9F7B3" w14:textId="77777777" w:rsidR="00344EA8" w:rsidRDefault="00344EA8" w:rsidP="00A81002">
            <w:pPr>
              <w:contextualSpacing/>
              <w:rPr>
                <w:rFonts w:ascii="Arial" w:hAnsi="Arial" w:cs="Arial"/>
                <w:sz w:val="20"/>
              </w:rPr>
            </w:pPr>
          </w:p>
        </w:tc>
      </w:tr>
      <w:tr w:rsidR="00344EA8" w14:paraId="214EBAC3" w14:textId="77777777" w:rsidTr="00357128">
        <w:tc>
          <w:tcPr>
            <w:tcW w:w="846" w:type="dxa"/>
            <w:vMerge/>
          </w:tcPr>
          <w:p w14:paraId="48E67E1A" w14:textId="77777777" w:rsidR="00344EA8" w:rsidRDefault="00344EA8" w:rsidP="00A81002">
            <w:pPr>
              <w:contextualSpacing/>
              <w:rPr>
                <w:rFonts w:ascii="Arial" w:hAnsi="Arial" w:cs="Arial"/>
                <w:sz w:val="20"/>
              </w:rPr>
            </w:pPr>
          </w:p>
        </w:tc>
        <w:tc>
          <w:tcPr>
            <w:tcW w:w="2226" w:type="dxa"/>
          </w:tcPr>
          <w:p w14:paraId="4D809791" w14:textId="77777777" w:rsidR="00344EA8" w:rsidRDefault="00344EA8" w:rsidP="00A81002">
            <w:pPr>
              <w:contextualSpacing/>
              <w:rPr>
                <w:rFonts w:ascii="Arial" w:hAnsi="Arial" w:cs="Arial"/>
                <w:sz w:val="20"/>
              </w:rPr>
            </w:pPr>
            <w:r>
              <w:rPr>
                <w:rFonts w:ascii="Arial" w:hAnsi="Arial" w:cs="Arial"/>
                <w:sz w:val="20"/>
              </w:rPr>
              <w:t>School cash support</w:t>
            </w:r>
          </w:p>
        </w:tc>
        <w:tc>
          <w:tcPr>
            <w:tcW w:w="1236" w:type="dxa"/>
          </w:tcPr>
          <w:p w14:paraId="594373A2" w14:textId="77777777" w:rsidR="00344EA8" w:rsidRDefault="00344EA8" w:rsidP="00A81002">
            <w:pPr>
              <w:contextualSpacing/>
              <w:rPr>
                <w:rFonts w:ascii="Arial" w:hAnsi="Arial" w:cs="Arial"/>
                <w:sz w:val="20"/>
              </w:rPr>
            </w:pPr>
            <w:r>
              <w:rPr>
                <w:rFonts w:ascii="Arial" w:hAnsi="Arial" w:cs="Arial"/>
                <w:sz w:val="20"/>
              </w:rPr>
              <w:t>$50,000</w:t>
            </w:r>
          </w:p>
        </w:tc>
        <w:tc>
          <w:tcPr>
            <w:tcW w:w="1266" w:type="dxa"/>
          </w:tcPr>
          <w:p w14:paraId="0BB80584" w14:textId="77777777" w:rsidR="00344EA8" w:rsidRDefault="00344EA8" w:rsidP="00A81002">
            <w:pPr>
              <w:contextualSpacing/>
              <w:rPr>
                <w:rFonts w:ascii="Arial" w:hAnsi="Arial" w:cs="Arial"/>
                <w:sz w:val="20"/>
              </w:rPr>
            </w:pPr>
            <w:r>
              <w:rPr>
                <w:rFonts w:ascii="Arial" w:hAnsi="Arial" w:cs="Arial"/>
                <w:sz w:val="20"/>
              </w:rPr>
              <w:t>$50,000</w:t>
            </w:r>
          </w:p>
        </w:tc>
        <w:tc>
          <w:tcPr>
            <w:tcW w:w="1367" w:type="dxa"/>
          </w:tcPr>
          <w:p w14:paraId="2DB84F81" w14:textId="77777777" w:rsidR="00344EA8" w:rsidRDefault="00344EA8" w:rsidP="00A81002">
            <w:pPr>
              <w:contextualSpacing/>
              <w:rPr>
                <w:rFonts w:ascii="Arial" w:hAnsi="Arial" w:cs="Arial"/>
                <w:sz w:val="20"/>
              </w:rPr>
            </w:pPr>
            <w:r>
              <w:rPr>
                <w:rFonts w:ascii="Arial" w:hAnsi="Arial" w:cs="Arial"/>
                <w:sz w:val="20"/>
              </w:rPr>
              <w:t>$50,000</w:t>
            </w:r>
          </w:p>
        </w:tc>
        <w:tc>
          <w:tcPr>
            <w:tcW w:w="2075" w:type="dxa"/>
          </w:tcPr>
          <w:p w14:paraId="12CEC455" w14:textId="77777777" w:rsidR="00344EA8" w:rsidRDefault="00344EA8" w:rsidP="00A81002">
            <w:pPr>
              <w:contextualSpacing/>
              <w:rPr>
                <w:rFonts w:ascii="Arial" w:hAnsi="Arial" w:cs="Arial"/>
                <w:sz w:val="20"/>
              </w:rPr>
            </w:pPr>
          </w:p>
        </w:tc>
      </w:tr>
      <w:tr w:rsidR="00344EA8" w14:paraId="495D2E2D" w14:textId="77777777" w:rsidTr="00357128">
        <w:tc>
          <w:tcPr>
            <w:tcW w:w="846" w:type="dxa"/>
            <w:vMerge w:val="restart"/>
          </w:tcPr>
          <w:p w14:paraId="645F820F" w14:textId="77777777" w:rsidR="00344EA8" w:rsidRDefault="00344EA8" w:rsidP="00A81002">
            <w:pPr>
              <w:contextualSpacing/>
              <w:rPr>
                <w:rFonts w:ascii="Arial" w:hAnsi="Arial" w:cs="Arial"/>
                <w:sz w:val="20"/>
              </w:rPr>
            </w:pPr>
            <w:bookmarkStart w:id="2" w:name="_Hlk126491524"/>
            <w:r>
              <w:rPr>
                <w:rFonts w:ascii="Arial" w:hAnsi="Arial" w:cs="Arial"/>
                <w:sz w:val="20"/>
              </w:rPr>
              <w:t>Not acceptable scenario</w:t>
            </w:r>
          </w:p>
        </w:tc>
        <w:tc>
          <w:tcPr>
            <w:tcW w:w="2226" w:type="dxa"/>
          </w:tcPr>
          <w:p w14:paraId="3F0D74A2" w14:textId="77777777" w:rsidR="00344EA8" w:rsidRDefault="00344EA8" w:rsidP="00A81002">
            <w:pPr>
              <w:contextualSpacing/>
              <w:rPr>
                <w:rFonts w:ascii="Arial" w:hAnsi="Arial" w:cs="Arial"/>
                <w:sz w:val="20"/>
              </w:rPr>
            </w:pPr>
            <w:r>
              <w:rPr>
                <w:rFonts w:ascii="Arial" w:hAnsi="Arial" w:cs="Arial"/>
                <w:sz w:val="20"/>
              </w:rPr>
              <w:t>External funding (minimum 3:1 ROI)</w:t>
            </w:r>
          </w:p>
        </w:tc>
        <w:tc>
          <w:tcPr>
            <w:tcW w:w="1236" w:type="dxa"/>
          </w:tcPr>
          <w:p w14:paraId="02403602" w14:textId="77777777" w:rsidR="00344EA8" w:rsidRDefault="00344EA8" w:rsidP="00A81002">
            <w:pPr>
              <w:contextualSpacing/>
              <w:rPr>
                <w:rFonts w:ascii="Arial" w:hAnsi="Arial" w:cs="Arial"/>
                <w:sz w:val="20"/>
              </w:rPr>
            </w:pPr>
            <w:r>
              <w:rPr>
                <w:rFonts w:ascii="Arial" w:hAnsi="Arial" w:cs="Arial"/>
                <w:sz w:val="20"/>
              </w:rPr>
              <w:t>$600,000</w:t>
            </w:r>
          </w:p>
        </w:tc>
        <w:tc>
          <w:tcPr>
            <w:tcW w:w="1266" w:type="dxa"/>
          </w:tcPr>
          <w:p w14:paraId="7464A551" w14:textId="77777777" w:rsidR="00344EA8" w:rsidRDefault="00344EA8" w:rsidP="00A81002">
            <w:pPr>
              <w:contextualSpacing/>
              <w:rPr>
                <w:rFonts w:ascii="Arial" w:hAnsi="Arial" w:cs="Arial"/>
                <w:sz w:val="20"/>
              </w:rPr>
            </w:pPr>
            <w:r>
              <w:rPr>
                <w:rFonts w:ascii="Arial" w:hAnsi="Arial" w:cs="Arial"/>
                <w:sz w:val="20"/>
              </w:rPr>
              <w:t>$600,000</w:t>
            </w:r>
          </w:p>
        </w:tc>
        <w:tc>
          <w:tcPr>
            <w:tcW w:w="1367" w:type="dxa"/>
          </w:tcPr>
          <w:p w14:paraId="54271647" w14:textId="77777777" w:rsidR="00344EA8" w:rsidRDefault="00344EA8" w:rsidP="00A81002">
            <w:pPr>
              <w:contextualSpacing/>
              <w:rPr>
                <w:rFonts w:ascii="Arial" w:hAnsi="Arial" w:cs="Arial"/>
                <w:sz w:val="20"/>
              </w:rPr>
            </w:pPr>
            <w:r>
              <w:rPr>
                <w:rFonts w:ascii="Arial" w:hAnsi="Arial" w:cs="Arial"/>
                <w:sz w:val="20"/>
              </w:rPr>
              <w:t>$600,000</w:t>
            </w:r>
          </w:p>
        </w:tc>
        <w:tc>
          <w:tcPr>
            <w:tcW w:w="2075" w:type="dxa"/>
            <w:vMerge w:val="restart"/>
          </w:tcPr>
          <w:p w14:paraId="7A8E8A51" w14:textId="77777777" w:rsidR="00344EA8" w:rsidRDefault="00344EA8" w:rsidP="00A81002">
            <w:pPr>
              <w:contextualSpacing/>
              <w:rPr>
                <w:rFonts w:ascii="Arial" w:hAnsi="Arial" w:cs="Arial"/>
                <w:sz w:val="20"/>
              </w:rPr>
            </w:pPr>
            <w:r>
              <w:rPr>
                <w:rFonts w:ascii="Arial" w:hAnsi="Arial" w:cs="Arial"/>
                <w:sz w:val="20"/>
              </w:rPr>
              <w:t>There has been no growth in external funding for the centre’s research program, and it continues to rely too much on SRF resources. This entity is demonstrating neither growth nor sustainability.</w:t>
            </w:r>
          </w:p>
        </w:tc>
      </w:tr>
      <w:bookmarkEnd w:id="2"/>
      <w:tr w:rsidR="00344EA8" w14:paraId="7092A5FD" w14:textId="77777777" w:rsidTr="00357128">
        <w:tc>
          <w:tcPr>
            <w:tcW w:w="846" w:type="dxa"/>
            <w:vMerge/>
          </w:tcPr>
          <w:p w14:paraId="16C14BCB" w14:textId="77777777" w:rsidR="00344EA8" w:rsidRDefault="00344EA8" w:rsidP="00A81002">
            <w:pPr>
              <w:contextualSpacing/>
              <w:rPr>
                <w:rFonts w:ascii="Arial" w:hAnsi="Arial" w:cs="Arial"/>
                <w:sz w:val="20"/>
              </w:rPr>
            </w:pPr>
          </w:p>
        </w:tc>
        <w:tc>
          <w:tcPr>
            <w:tcW w:w="2226" w:type="dxa"/>
          </w:tcPr>
          <w:p w14:paraId="10855D40" w14:textId="77777777" w:rsidR="00344EA8" w:rsidRDefault="00344EA8" w:rsidP="00A81002">
            <w:pPr>
              <w:contextualSpacing/>
              <w:rPr>
                <w:rFonts w:ascii="Arial" w:hAnsi="Arial" w:cs="Arial"/>
                <w:sz w:val="20"/>
              </w:rPr>
            </w:pPr>
            <w:r>
              <w:rPr>
                <w:rFonts w:ascii="Arial" w:hAnsi="Arial" w:cs="Arial"/>
                <w:sz w:val="20"/>
              </w:rPr>
              <w:t>Total funding for ECUSRIC operations</w:t>
            </w:r>
          </w:p>
        </w:tc>
        <w:tc>
          <w:tcPr>
            <w:tcW w:w="1236" w:type="dxa"/>
          </w:tcPr>
          <w:p w14:paraId="6757240F" w14:textId="77777777" w:rsidR="00344EA8" w:rsidRDefault="00344EA8" w:rsidP="00A81002">
            <w:pPr>
              <w:contextualSpacing/>
              <w:rPr>
                <w:rFonts w:ascii="Arial" w:hAnsi="Arial" w:cs="Arial"/>
                <w:sz w:val="20"/>
              </w:rPr>
            </w:pPr>
            <w:r>
              <w:rPr>
                <w:rFonts w:ascii="Arial" w:hAnsi="Arial" w:cs="Arial"/>
                <w:sz w:val="20"/>
              </w:rPr>
              <w:t>$850,000</w:t>
            </w:r>
          </w:p>
        </w:tc>
        <w:tc>
          <w:tcPr>
            <w:tcW w:w="1266" w:type="dxa"/>
          </w:tcPr>
          <w:p w14:paraId="150F3C0D" w14:textId="77777777" w:rsidR="00344EA8" w:rsidRDefault="00344EA8" w:rsidP="00A81002">
            <w:pPr>
              <w:contextualSpacing/>
              <w:rPr>
                <w:rFonts w:ascii="Arial" w:hAnsi="Arial" w:cs="Arial"/>
                <w:sz w:val="20"/>
              </w:rPr>
            </w:pPr>
            <w:r>
              <w:rPr>
                <w:rFonts w:ascii="Arial" w:hAnsi="Arial" w:cs="Arial"/>
                <w:sz w:val="20"/>
              </w:rPr>
              <w:t>$850,000</w:t>
            </w:r>
          </w:p>
        </w:tc>
        <w:tc>
          <w:tcPr>
            <w:tcW w:w="1367" w:type="dxa"/>
          </w:tcPr>
          <w:p w14:paraId="047F8815" w14:textId="77777777" w:rsidR="00344EA8" w:rsidRDefault="00344EA8" w:rsidP="00A81002">
            <w:pPr>
              <w:contextualSpacing/>
              <w:rPr>
                <w:rFonts w:ascii="Arial" w:hAnsi="Arial" w:cs="Arial"/>
                <w:sz w:val="20"/>
              </w:rPr>
            </w:pPr>
            <w:r>
              <w:rPr>
                <w:rFonts w:ascii="Arial" w:hAnsi="Arial" w:cs="Arial"/>
                <w:sz w:val="20"/>
              </w:rPr>
              <w:t>$850,000</w:t>
            </w:r>
          </w:p>
        </w:tc>
        <w:tc>
          <w:tcPr>
            <w:tcW w:w="2075" w:type="dxa"/>
            <w:vMerge/>
          </w:tcPr>
          <w:p w14:paraId="2B943A70" w14:textId="77777777" w:rsidR="00344EA8" w:rsidRDefault="00344EA8" w:rsidP="00A81002">
            <w:pPr>
              <w:contextualSpacing/>
              <w:rPr>
                <w:rFonts w:ascii="Arial" w:hAnsi="Arial" w:cs="Arial"/>
                <w:sz w:val="20"/>
              </w:rPr>
            </w:pPr>
          </w:p>
        </w:tc>
      </w:tr>
      <w:tr w:rsidR="00344EA8" w14:paraId="5C4D9A79" w14:textId="77777777" w:rsidTr="00357128">
        <w:tc>
          <w:tcPr>
            <w:tcW w:w="846" w:type="dxa"/>
            <w:vMerge/>
          </w:tcPr>
          <w:p w14:paraId="44F6C9CE" w14:textId="77777777" w:rsidR="00344EA8" w:rsidRDefault="00344EA8" w:rsidP="00A81002">
            <w:pPr>
              <w:contextualSpacing/>
              <w:rPr>
                <w:rFonts w:ascii="Arial" w:hAnsi="Arial" w:cs="Arial"/>
                <w:sz w:val="20"/>
              </w:rPr>
            </w:pPr>
          </w:p>
        </w:tc>
        <w:tc>
          <w:tcPr>
            <w:tcW w:w="2226" w:type="dxa"/>
          </w:tcPr>
          <w:p w14:paraId="4AA8B715" w14:textId="77777777" w:rsidR="00344EA8" w:rsidRDefault="00344EA8" w:rsidP="00A81002">
            <w:pPr>
              <w:contextualSpacing/>
              <w:rPr>
                <w:rFonts w:ascii="Arial" w:hAnsi="Arial" w:cs="Arial"/>
                <w:sz w:val="20"/>
              </w:rPr>
            </w:pPr>
            <w:r>
              <w:rPr>
                <w:rFonts w:ascii="Arial" w:hAnsi="Arial" w:cs="Arial"/>
                <w:sz w:val="20"/>
              </w:rPr>
              <w:t xml:space="preserve">% </w:t>
            </w:r>
            <w:proofErr w:type="gramStart"/>
            <w:r>
              <w:rPr>
                <w:rFonts w:ascii="Arial" w:hAnsi="Arial" w:cs="Arial"/>
                <w:sz w:val="20"/>
              </w:rPr>
              <w:t>of</w:t>
            </w:r>
            <w:proofErr w:type="gramEnd"/>
            <w:r>
              <w:rPr>
                <w:rFonts w:ascii="Arial" w:hAnsi="Arial" w:cs="Arial"/>
                <w:sz w:val="20"/>
              </w:rPr>
              <w:t xml:space="preserve"> the total contributed by the SRF</w:t>
            </w:r>
          </w:p>
        </w:tc>
        <w:tc>
          <w:tcPr>
            <w:tcW w:w="1236" w:type="dxa"/>
          </w:tcPr>
          <w:p w14:paraId="458472E6" w14:textId="77777777" w:rsidR="00344EA8" w:rsidRDefault="00344EA8" w:rsidP="00A81002">
            <w:pPr>
              <w:contextualSpacing/>
              <w:rPr>
                <w:rFonts w:ascii="Arial" w:hAnsi="Arial" w:cs="Arial"/>
                <w:sz w:val="20"/>
              </w:rPr>
            </w:pPr>
            <w:r>
              <w:rPr>
                <w:rFonts w:ascii="Arial" w:hAnsi="Arial" w:cs="Arial"/>
                <w:sz w:val="20"/>
              </w:rPr>
              <w:t>24%</w:t>
            </w:r>
          </w:p>
        </w:tc>
        <w:tc>
          <w:tcPr>
            <w:tcW w:w="1266" w:type="dxa"/>
          </w:tcPr>
          <w:p w14:paraId="0538CC55" w14:textId="77777777" w:rsidR="00344EA8" w:rsidRDefault="00344EA8" w:rsidP="00A81002">
            <w:pPr>
              <w:contextualSpacing/>
              <w:rPr>
                <w:rFonts w:ascii="Arial" w:hAnsi="Arial" w:cs="Arial"/>
                <w:sz w:val="20"/>
              </w:rPr>
            </w:pPr>
            <w:r>
              <w:rPr>
                <w:rFonts w:ascii="Arial" w:hAnsi="Arial" w:cs="Arial"/>
                <w:sz w:val="20"/>
              </w:rPr>
              <w:t>24%</w:t>
            </w:r>
          </w:p>
        </w:tc>
        <w:tc>
          <w:tcPr>
            <w:tcW w:w="1367" w:type="dxa"/>
          </w:tcPr>
          <w:p w14:paraId="6F038622" w14:textId="77777777" w:rsidR="00344EA8" w:rsidRDefault="00344EA8" w:rsidP="00A81002">
            <w:pPr>
              <w:contextualSpacing/>
              <w:rPr>
                <w:rFonts w:ascii="Arial" w:hAnsi="Arial" w:cs="Arial"/>
                <w:sz w:val="20"/>
              </w:rPr>
            </w:pPr>
            <w:r>
              <w:rPr>
                <w:rFonts w:ascii="Arial" w:hAnsi="Arial" w:cs="Arial"/>
                <w:sz w:val="20"/>
              </w:rPr>
              <w:t>24%</w:t>
            </w:r>
          </w:p>
        </w:tc>
        <w:tc>
          <w:tcPr>
            <w:tcW w:w="2075" w:type="dxa"/>
            <w:vMerge/>
          </w:tcPr>
          <w:p w14:paraId="753DBB76" w14:textId="77777777" w:rsidR="00344EA8" w:rsidRDefault="00344EA8" w:rsidP="00A81002">
            <w:pPr>
              <w:contextualSpacing/>
              <w:rPr>
                <w:rFonts w:ascii="Arial" w:hAnsi="Arial" w:cs="Arial"/>
                <w:sz w:val="20"/>
              </w:rPr>
            </w:pPr>
          </w:p>
        </w:tc>
      </w:tr>
      <w:tr w:rsidR="00344EA8" w14:paraId="333CE69A" w14:textId="77777777" w:rsidTr="00357128">
        <w:tc>
          <w:tcPr>
            <w:tcW w:w="846" w:type="dxa"/>
            <w:vMerge w:val="restart"/>
          </w:tcPr>
          <w:p w14:paraId="282BF07F" w14:textId="77777777" w:rsidR="00344EA8" w:rsidRDefault="00344EA8" w:rsidP="00A81002">
            <w:pPr>
              <w:contextualSpacing/>
              <w:rPr>
                <w:rFonts w:ascii="Arial" w:hAnsi="Arial" w:cs="Arial"/>
                <w:sz w:val="20"/>
              </w:rPr>
            </w:pPr>
            <w:r>
              <w:rPr>
                <w:rFonts w:ascii="Arial" w:hAnsi="Arial" w:cs="Arial"/>
                <w:sz w:val="20"/>
              </w:rPr>
              <w:t>One possible trajectory of financial sustainability growth</w:t>
            </w:r>
          </w:p>
        </w:tc>
        <w:tc>
          <w:tcPr>
            <w:tcW w:w="2226" w:type="dxa"/>
          </w:tcPr>
          <w:p w14:paraId="38B5F820" w14:textId="77777777" w:rsidR="00344EA8" w:rsidRDefault="00344EA8" w:rsidP="00A81002">
            <w:pPr>
              <w:contextualSpacing/>
              <w:rPr>
                <w:rFonts w:ascii="Arial" w:hAnsi="Arial" w:cs="Arial"/>
                <w:sz w:val="20"/>
              </w:rPr>
            </w:pPr>
            <w:r>
              <w:rPr>
                <w:rFonts w:ascii="Arial" w:hAnsi="Arial" w:cs="Arial"/>
                <w:sz w:val="20"/>
              </w:rPr>
              <w:t>External funding (the minimum ROI has grown from 3:1 to 4:1 over 3 years)</w:t>
            </w:r>
          </w:p>
        </w:tc>
        <w:tc>
          <w:tcPr>
            <w:tcW w:w="1236" w:type="dxa"/>
          </w:tcPr>
          <w:p w14:paraId="37FCC21C" w14:textId="77777777" w:rsidR="00344EA8" w:rsidRDefault="00344EA8" w:rsidP="00A81002">
            <w:pPr>
              <w:contextualSpacing/>
              <w:rPr>
                <w:rFonts w:ascii="Arial" w:hAnsi="Arial" w:cs="Arial"/>
                <w:sz w:val="20"/>
              </w:rPr>
            </w:pPr>
            <w:r>
              <w:rPr>
                <w:rFonts w:ascii="Arial" w:hAnsi="Arial" w:cs="Arial"/>
                <w:sz w:val="20"/>
              </w:rPr>
              <w:t>$600,000</w:t>
            </w:r>
          </w:p>
        </w:tc>
        <w:tc>
          <w:tcPr>
            <w:tcW w:w="1266" w:type="dxa"/>
          </w:tcPr>
          <w:p w14:paraId="76AF87E2" w14:textId="77777777" w:rsidR="00344EA8" w:rsidRDefault="00344EA8" w:rsidP="00A81002">
            <w:pPr>
              <w:contextualSpacing/>
              <w:rPr>
                <w:rFonts w:ascii="Arial" w:hAnsi="Arial" w:cs="Arial"/>
                <w:sz w:val="20"/>
              </w:rPr>
            </w:pPr>
            <w:r>
              <w:rPr>
                <w:rFonts w:ascii="Arial" w:hAnsi="Arial" w:cs="Arial"/>
                <w:sz w:val="20"/>
              </w:rPr>
              <w:t>$700,000</w:t>
            </w:r>
          </w:p>
        </w:tc>
        <w:tc>
          <w:tcPr>
            <w:tcW w:w="1367" w:type="dxa"/>
          </w:tcPr>
          <w:p w14:paraId="46FCCF87" w14:textId="77777777" w:rsidR="00344EA8" w:rsidRDefault="00344EA8" w:rsidP="00A81002">
            <w:pPr>
              <w:contextualSpacing/>
              <w:rPr>
                <w:rFonts w:ascii="Arial" w:hAnsi="Arial" w:cs="Arial"/>
                <w:sz w:val="20"/>
              </w:rPr>
            </w:pPr>
            <w:r>
              <w:rPr>
                <w:rFonts w:ascii="Arial" w:hAnsi="Arial" w:cs="Arial"/>
                <w:sz w:val="20"/>
              </w:rPr>
              <w:t>$800,000</w:t>
            </w:r>
          </w:p>
        </w:tc>
        <w:tc>
          <w:tcPr>
            <w:tcW w:w="2075" w:type="dxa"/>
            <w:vMerge w:val="restart"/>
          </w:tcPr>
          <w:p w14:paraId="6BB25392" w14:textId="77777777" w:rsidR="00344EA8" w:rsidRDefault="00344EA8" w:rsidP="00A81002">
            <w:pPr>
              <w:contextualSpacing/>
              <w:rPr>
                <w:rFonts w:ascii="Arial" w:hAnsi="Arial" w:cs="Arial"/>
                <w:sz w:val="20"/>
              </w:rPr>
            </w:pPr>
            <w:r>
              <w:rPr>
                <w:rFonts w:ascii="Arial" w:hAnsi="Arial" w:cs="Arial"/>
                <w:sz w:val="20"/>
              </w:rPr>
              <w:t>External income has grown, and while the SRF amount is the same in $ terms, it no longer accounts for the same % of overall funding for the entity. This entity is sustainability growing its activities by attracting more external income and using this to cover its increasing operations costs.</w:t>
            </w:r>
          </w:p>
        </w:tc>
      </w:tr>
      <w:tr w:rsidR="00344EA8" w14:paraId="40283254" w14:textId="77777777" w:rsidTr="00357128">
        <w:tc>
          <w:tcPr>
            <w:tcW w:w="846" w:type="dxa"/>
            <w:vMerge/>
          </w:tcPr>
          <w:p w14:paraId="42675E6A" w14:textId="77777777" w:rsidR="00344EA8" w:rsidRDefault="00344EA8" w:rsidP="00A81002">
            <w:pPr>
              <w:contextualSpacing/>
              <w:rPr>
                <w:rFonts w:ascii="Arial" w:hAnsi="Arial" w:cs="Arial"/>
                <w:sz w:val="20"/>
              </w:rPr>
            </w:pPr>
          </w:p>
        </w:tc>
        <w:tc>
          <w:tcPr>
            <w:tcW w:w="2226" w:type="dxa"/>
          </w:tcPr>
          <w:p w14:paraId="129DD264" w14:textId="77777777" w:rsidR="00344EA8" w:rsidRDefault="00344EA8" w:rsidP="00A81002">
            <w:pPr>
              <w:contextualSpacing/>
              <w:rPr>
                <w:rFonts w:ascii="Arial" w:hAnsi="Arial" w:cs="Arial"/>
                <w:sz w:val="20"/>
              </w:rPr>
            </w:pPr>
            <w:r>
              <w:rPr>
                <w:rFonts w:ascii="Arial" w:hAnsi="Arial" w:cs="Arial"/>
                <w:sz w:val="20"/>
              </w:rPr>
              <w:t>Total funding for ECUSRIC operations</w:t>
            </w:r>
          </w:p>
        </w:tc>
        <w:tc>
          <w:tcPr>
            <w:tcW w:w="1236" w:type="dxa"/>
          </w:tcPr>
          <w:p w14:paraId="4B9CFD8D" w14:textId="77777777" w:rsidR="00344EA8" w:rsidRDefault="00344EA8" w:rsidP="00A81002">
            <w:pPr>
              <w:contextualSpacing/>
              <w:rPr>
                <w:rFonts w:ascii="Arial" w:hAnsi="Arial" w:cs="Arial"/>
                <w:sz w:val="20"/>
              </w:rPr>
            </w:pPr>
            <w:r>
              <w:rPr>
                <w:rFonts w:ascii="Arial" w:hAnsi="Arial" w:cs="Arial"/>
                <w:sz w:val="20"/>
              </w:rPr>
              <w:t>$850,000</w:t>
            </w:r>
          </w:p>
        </w:tc>
        <w:tc>
          <w:tcPr>
            <w:tcW w:w="1266" w:type="dxa"/>
          </w:tcPr>
          <w:p w14:paraId="60B7DF0A" w14:textId="77777777" w:rsidR="00344EA8" w:rsidRDefault="00344EA8" w:rsidP="00A81002">
            <w:pPr>
              <w:contextualSpacing/>
              <w:rPr>
                <w:rFonts w:ascii="Arial" w:hAnsi="Arial" w:cs="Arial"/>
                <w:sz w:val="20"/>
              </w:rPr>
            </w:pPr>
            <w:r>
              <w:rPr>
                <w:rFonts w:ascii="Arial" w:hAnsi="Arial" w:cs="Arial"/>
                <w:sz w:val="20"/>
              </w:rPr>
              <w:t>$950,000</w:t>
            </w:r>
          </w:p>
        </w:tc>
        <w:tc>
          <w:tcPr>
            <w:tcW w:w="1367" w:type="dxa"/>
          </w:tcPr>
          <w:p w14:paraId="08F47427" w14:textId="77777777" w:rsidR="00344EA8" w:rsidRDefault="00344EA8" w:rsidP="00A81002">
            <w:pPr>
              <w:contextualSpacing/>
              <w:rPr>
                <w:rFonts w:ascii="Arial" w:hAnsi="Arial" w:cs="Arial"/>
                <w:sz w:val="20"/>
              </w:rPr>
            </w:pPr>
            <w:r>
              <w:rPr>
                <w:rFonts w:ascii="Arial" w:hAnsi="Arial" w:cs="Arial"/>
                <w:sz w:val="20"/>
              </w:rPr>
              <w:t>$1,050,000</w:t>
            </w:r>
          </w:p>
        </w:tc>
        <w:tc>
          <w:tcPr>
            <w:tcW w:w="2075" w:type="dxa"/>
            <w:vMerge/>
          </w:tcPr>
          <w:p w14:paraId="2518B6C4" w14:textId="77777777" w:rsidR="00344EA8" w:rsidRDefault="00344EA8" w:rsidP="00A81002">
            <w:pPr>
              <w:contextualSpacing/>
              <w:rPr>
                <w:rFonts w:ascii="Arial" w:hAnsi="Arial" w:cs="Arial"/>
                <w:sz w:val="20"/>
              </w:rPr>
            </w:pPr>
          </w:p>
        </w:tc>
      </w:tr>
      <w:tr w:rsidR="00344EA8" w14:paraId="2C9AB9FD" w14:textId="77777777" w:rsidTr="00357128">
        <w:tc>
          <w:tcPr>
            <w:tcW w:w="846" w:type="dxa"/>
            <w:vMerge/>
          </w:tcPr>
          <w:p w14:paraId="611F9209" w14:textId="77777777" w:rsidR="00344EA8" w:rsidRDefault="00344EA8" w:rsidP="00A81002">
            <w:pPr>
              <w:contextualSpacing/>
              <w:rPr>
                <w:rFonts w:ascii="Arial" w:hAnsi="Arial" w:cs="Arial"/>
                <w:sz w:val="20"/>
              </w:rPr>
            </w:pPr>
          </w:p>
        </w:tc>
        <w:tc>
          <w:tcPr>
            <w:tcW w:w="2226" w:type="dxa"/>
          </w:tcPr>
          <w:p w14:paraId="13325517" w14:textId="77777777" w:rsidR="00344EA8" w:rsidRDefault="00344EA8" w:rsidP="00A81002">
            <w:pPr>
              <w:contextualSpacing/>
              <w:rPr>
                <w:rFonts w:ascii="Arial" w:hAnsi="Arial" w:cs="Arial"/>
                <w:sz w:val="20"/>
              </w:rPr>
            </w:pPr>
            <w:r>
              <w:rPr>
                <w:rFonts w:ascii="Arial" w:hAnsi="Arial" w:cs="Arial"/>
                <w:sz w:val="20"/>
              </w:rPr>
              <w:t xml:space="preserve">% </w:t>
            </w:r>
            <w:proofErr w:type="gramStart"/>
            <w:r>
              <w:rPr>
                <w:rFonts w:ascii="Arial" w:hAnsi="Arial" w:cs="Arial"/>
                <w:sz w:val="20"/>
              </w:rPr>
              <w:t>of</w:t>
            </w:r>
            <w:proofErr w:type="gramEnd"/>
            <w:r>
              <w:rPr>
                <w:rFonts w:ascii="Arial" w:hAnsi="Arial" w:cs="Arial"/>
                <w:sz w:val="20"/>
              </w:rPr>
              <w:t xml:space="preserve"> the total contributed by the SRF</w:t>
            </w:r>
          </w:p>
        </w:tc>
        <w:tc>
          <w:tcPr>
            <w:tcW w:w="1236" w:type="dxa"/>
          </w:tcPr>
          <w:p w14:paraId="0CF70376" w14:textId="77777777" w:rsidR="00344EA8" w:rsidRDefault="00344EA8" w:rsidP="00A81002">
            <w:pPr>
              <w:contextualSpacing/>
              <w:rPr>
                <w:rFonts w:ascii="Arial" w:hAnsi="Arial" w:cs="Arial"/>
                <w:sz w:val="20"/>
              </w:rPr>
            </w:pPr>
            <w:r>
              <w:rPr>
                <w:rFonts w:ascii="Arial" w:hAnsi="Arial" w:cs="Arial"/>
                <w:sz w:val="20"/>
              </w:rPr>
              <w:t>24%</w:t>
            </w:r>
          </w:p>
        </w:tc>
        <w:tc>
          <w:tcPr>
            <w:tcW w:w="1266" w:type="dxa"/>
          </w:tcPr>
          <w:p w14:paraId="7B4C90DE" w14:textId="77777777" w:rsidR="00344EA8" w:rsidRDefault="00344EA8" w:rsidP="00A81002">
            <w:pPr>
              <w:contextualSpacing/>
              <w:rPr>
                <w:rFonts w:ascii="Arial" w:hAnsi="Arial" w:cs="Arial"/>
                <w:sz w:val="20"/>
              </w:rPr>
            </w:pPr>
            <w:r>
              <w:rPr>
                <w:rFonts w:ascii="Arial" w:hAnsi="Arial" w:cs="Arial"/>
                <w:sz w:val="20"/>
              </w:rPr>
              <w:t>21%</w:t>
            </w:r>
          </w:p>
        </w:tc>
        <w:tc>
          <w:tcPr>
            <w:tcW w:w="1367" w:type="dxa"/>
          </w:tcPr>
          <w:p w14:paraId="435E8E08" w14:textId="77777777" w:rsidR="00344EA8" w:rsidRDefault="00344EA8" w:rsidP="00A81002">
            <w:pPr>
              <w:contextualSpacing/>
              <w:rPr>
                <w:rFonts w:ascii="Arial" w:hAnsi="Arial" w:cs="Arial"/>
                <w:sz w:val="20"/>
              </w:rPr>
            </w:pPr>
            <w:r>
              <w:rPr>
                <w:rFonts w:ascii="Arial" w:hAnsi="Arial" w:cs="Arial"/>
                <w:sz w:val="20"/>
              </w:rPr>
              <w:t>19%</w:t>
            </w:r>
          </w:p>
        </w:tc>
        <w:tc>
          <w:tcPr>
            <w:tcW w:w="2075" w:type="dxa"/>
            <w:vMerge/>
          </w:tcPr>
          <w:p w14:paraId="1D7BACA3" w14:textId="77777777" w:rsidR="00344EA8" w:rsidRDefault="00344EA8" w:rsidP="00A81002">
            <w:pPr>
              <w:contextualSpacing/>
              <w:rPr>
                <w:rFonts w:ascii="Arial" w:hAnsi="Arial" w:cs="Arial"/>
                <w:sz w:val="20"/>
              </w:rPr>
            </w:pPr>
          </w:p>
        </w:tc>
      </w:tr>
    </w:tbl>
    <w:p w14:paraId="7CD18C95" w14:textId="77777777" w:rsidR="00344EA8" w:rsidRPr="001A5652" w:rsidRDefault="00344EA8" w:rsidP="001A5652"/>
    <w:p w14:paraId="40728FC9" w14:textId="67BAB254" w:rsidR="00C17C65" w:rsidRPr="00C17C65" w:rsidRDefault="008E3871" w:rsidP="00C17C65">
      <w:pPr>
        <w:pStyle w:val="Heading2"/>
        <w:rPr>
          <w:rFonts w:ascii="Arial" w:hAnsi="Arial" w:cs="Arial"/>
          <w:sz w:val="24"/>
        </w:rPr>
      </w:pPr>
      <w:r w:rsidRPr="009E5BDB">
        <w:rPr>
          <w:rFonts w:ascii="Arial" w:hAnsi="Arial" w:cs="Arial"/>
          <w:sz w:val="24"/>
        </w:rPr>
        <w:t>What can be requested</w:t>
      </w:r>
      <w:r w:rsidR="00AA1EE1">
        <w:rPr>
          <w:rFonts w:ascii="Arial" w:hAnsi="Arial" w:cs="Arial"/>
          <w:sz w:val="24"/>
        </w:rPr>
        <w:t xml:space="preserve"> for SRF funding: </w:t>
      </w:r>
    </w:p>
    <w:p w14:paraId="1AD3C55A" w14:textId="4EADA3F1" w:rsidR="00C17C65" w:rsidRDefault="00C17C65" w:rsidP="00C17C65">
      <w:pPr>
        <w:spacing w:after="0" w:line="240" w:lineRule="auto"/>
        <w:rPr>
          <w:rFonts w:ascii="Arial" w:hAnsi="Arial" w:cs="Arial"/>
          <w:sz w:val="20"/>
          <w:szCs w:val="20"/>
        </w:rPr>
      </w:pPr>
      <w:r w:rsidRPr="562087E7">
        <w:rPr>
          <w:rFonts w:ascii="Arial" w:hAnsi="Arial" w:cs="Arial"/>
          <w:sz w:val="20"/>
          <w:szCs w:val="20"/>
        </w:rPr>
        <w:t xml:space="preserve">ECU Strategic Research Institute </w:t>
      </w:r>
      <w:r>
        <w:rPr>
          <w:rFonts w:ascii="Arial" w:hAnsi="Arial" w:cs="Arial"/>
          <w:sz w:val="20"/>
          <w:szCs w:val="20"/>
        </w:rPr>
        <w:t>and</w:t>
      </w:r>
      <w:r w:rsidRPr="562087E7">
        <w:rPr>
          <w:rFonts w:ascii="Arial" w:hAnsi="Arial" w:cs="Arial"/>
          <w:sz w:val="20"/>
          <w:szCs w:val="20"/>
        </w:rPr>
        <w:t xml:space="preserve"> Centre </w:t>
      </w:r>
      <w:r w:rsidR="582C682A" w:rsidRPr="19BBB3FD">
        <w:rPr>
          <w:rFonts w:ascii="Arial" w:hAnsi="Arial" w:cs="Arial"/>
          <w:sz w:val="20"/>
          <w:szCs w:val="20"/>
        </w:rPr>
        <w:t>funding</w:t>
      </w:r>
      <w:r w:rsidRPr="562087E7">
        <w:rPr>
          <w:rFonts w:ascii="Arial" w:hAnsi="Arial" w:cs="Arial"/>
          <w:sz w:val="20"/>
          <w:szCs w:val="20"/>
        </w:rPr>
        <w:t xml:space="preserve"> from the </w:t>
      </w:r>
      <w:r>
        <w:rPr>
          <w:rFonts w:ascii="Arial" w:hAnsi="Arial" w:cs="Arial"/>
          <w:sz w:val="20"/>
          <w:szCs w:val="20"/>
        </w:rPr>
        <w:t>SRF</w:t>
      </w:r>
      <w:r w:rsidRPr="562087E7">
        <w:rPr>
          <w:rFonts w:ascii="Arial" w:hAnsi="Arial" w:cs="Arial"/>
          <w:sz w:val="20"/>
          <w:szCs w:val="20"/>
        </w:rPr>
        <w:t xml:space="preserve"> will contribute to covering the costs </w:t>
      </w:r>
      <w:r w:rsidR="00E31E9C">
        <w:rPr>
          <w:rFonts w:ascii="Arial" w:hAnsi="Arial" w:cs="Arial"/>
          <w:sz w:val="20"/>
          <w:szCs w:val="20"/>
        </w:rPr>
        <w:t xml:space="preserve">of </w:t>
      </w:r>
      <w:r w:rsidR="003E0463">
        <w:rPr>
          <w:rFonts w:ascii="Arial" w:hAnsi="Arial" w:cs="Arial"/>
          <w:sz w:val="20"/>
          <w:szCs w:val="20"/>
        </w:rPr>
        <w:t xml:space="preserve">items necessary </w:t>
      </w:r>
      <w:r w:rsidR="000F731E">
        <w:rPr>
          <w:rFonts w:ascii="Arial" w:hAnsi="Arial" w:cs="Arial"/>
          <w:sz w:val="20"/>
          <w:szCs w:val="20"/>
        </w:rPr>
        <w:t>to facilitate and support the conduct of research activity.</w:t>
      </w:r>
      <w:r w:rsidR="002E4313">
        <w:rPr>
          <w:rFonts w:ascii="Arial" w:hAnsi="Arial" w:cs="Arial"/>
          <w:sz w:val="20"/>
          <w:szCs w:val="20"/>
        </w:rPr>
        <w:t xml:space="preserve"> This includes physical infrastructure, </w:t>
      </w:r>
      <w:r w:rsidR="00010CD4">
        <w:rPr>
          <w:rFonts w:ascii="Arial" w:hAnsi="Arial" w:cs="Arial"/>
          <w:sz w:val="20"/>
          <w:szCs w:val="20"/>
        </w:rPr>
        <w:t xml:space="preserve">research personnel </w:t>
      </w:r>
      <w:r w:rsidR="00B62921">
        <w:rPr>
          <w:rFonts w:ascii="Arial" w:hAnsi="Arial" w:cs="Arial"/>
          <w:sz w:val="20"/>
          <w:szCs w:val="20"/>
        </w:rPr>
        <w:t>(</w:t>
      </w:r>
      <w:proofErr w:type="spellStart"/>
      <w:r w:rsidR="00B62921">
        <w:rPr>
          <w:rFonts w:ascii="Arial" w:hAnsi="Arial" w:cs="Arial"/>
          <w:sz w:val="20"/>
          <w:szCs w:val="20"/>
        </w:rPr>
        <w:t>eg.</w:t>
      </w:r>
      <w:proofErr w:type="spellEnd"/>
      <w:r w:rsidR="00B62921">
        <w:rPr>
          <w:rFonts w:ascii="Arial" w:hAnsi="Arial" w:cs="Arial"/>
          <w:sz w:val="20"/>
          <w:szCs w:val="20"/>
        </w:rPr>
        <w:t xml:space="preserve"> Research </w:t>
      </w:r>
      <w:r w:rsidR="00585A7B">
        <w:rPr>
          <w:rFonts w:ascii="Arial" w:hAnsi="Arial" w:cs="Arial"/>
          <w:sz w:val="20"/>
          <w:szCs w:val="20"/>
        </w:rPr>
        <w:t>staff, salary top ups to</w:t>
      </w:r>
      <w:r w:rsidR="00882389">
        <w:rPr>
          <w:rFonts w:ascii="Arial" w:hAnsi="Arial" w:cs="Arial"/>
          <w:sz w:val="20"/>
          <w:szCs w:val="20"/>
        </w:rPr>
        <w:t xml:space="preserve"> external</w:t>
      </w:r>
      <w:r w:rsidR="00585A7B">
        <w:rPr>
          <w:rFonts w:ascii="Arial" w:hAnsi="Arial" w:cs="Arial"/>
          <w:sz w:val="20"/>
          <w:szCs w:val="20"/>
        </w:rPr>
        <w:t xml:space="preserve"> grants</w:t>
      </w:r>
      <w:r w:rsidR="007104B1">
        <w:rPr>
          <w:rFonts w:ascii="Arial" w:hAnsi="Arial" w:cs="Arial"/>
          <w:sz w:val="20"/>
          <w:szCs w:val="20"/>
        </w:rPr>
        <w:t xml:space="preserve">), </w:t>
      </w:r>
      <w:r w:rsidR="001B6C4E">
        <w:rPr>
          <w:rFonts w:ascii="Arial" w:hAnsi="Arial" w:cs="Arial"/>
          <w:sz w:val="20"/>
          <w:szCs w:val="20"/>
        </w:rPr>
        <w:t>and other items needed for</w:t>
      </w:r>
      <w:r w:rsidR="00882389">
        <w:rPr>
          <w:rFonts w:ascii="Arial" w:hAnsi="Arial" w:cs="Arial"/>
          <w:sz w:val="20"/>
          <w:szCs w:val="20"/>
        </w:rPr>
        <w:t xml:space="preserve"> entity and research conduct</w:t>
      </w:r>
      <w:r w:rsidR="00AC4903">
        <w:rPr>
          <w:rFonts w:ascii="Arial" w:hAnsi="Arial" w:cs="Arial"/>
          <w:sz w:val="20"/>
          <w:szCs w:val="20"/>
        </w:rPr>
        <w:t xml:space="preserve">. </w:t>
      </w:r>
    </w:p>
    <w:p w14:paraId="7398CFA2" w14:textId="77777777" w:rsidR="00DA30A1" w:rsidRDefault="00DA30A1" w:rsidP="00DA30A1">
      <w:pPr>
        <w:spacing w:after="0" w:line="240" w:lineRule="auto"/>
        <w:rPr>
          <w:rFonts w:ascii="Arial" w:hAnsi="Arial" w:cs="Arial"/>
          <w:sz w:val="20"/>
        </w:rPr>
      </w:pPr>
    </w:p>
    <w:p w14:paraId="5A2A819E" w14:textId="69039257" w:rsidR="0024586F" w:rsidRPr="009E5BDB" w:rsidRDefault="00F07277" w:rsidP="008E3871">
      <w:pPr>
        <w:rPr>
          <w:rFonts w:ascii="Arial" w:hAnsi="Arial" w:cs="Arial"/>
          <w:sz w:val="20"/>
        </w:rPr>
      </w:pPr>
      <w:r>
        <w:rPr>
          <w:rFonts w:ascii="Arial" w:hAnsi="Arial" w:cs="Arial"/>
          <w:sz w:val="20"/>
        </w:rPr>
        <w:t>B</w:t>
      </w:r>
      <w:r w:rsidR="008E3871" w:rsidRPr="009E5BDB">
        <w:rPr>
          <w:rFonts w:ascii="Arial" w:hAnsi="Arial" w:cs="Arial"/>
          <w:sz w:val="20"/>
        </w:rPr>
        <w:t xml:space="preserve">udget items </w:t>
      </w:r>
      <w:r w:rsidR="00DF2C5F">
        <w:rPr>
          <w:rFonts w:ascii="Arial" w:hAnsi="Arial" w:cs="Arial"/>
          <w:sz w:val="20"/>
        </w:rPr>
        <w:t>that can</w:t>
      </w:r>
      <w:r w:rsidR="008E3871" w:rsidRPr="009E5BDB">
        <w:rPr>
          <w:rFonts w:ascii="Arial" w:hAnsi="Arial" w:cs="Arial"/>
          <w:sz w:val="20"/>
        </w:rPr>
        <w:t xml:space="preserve"> be requested</w:t>
      </w:r>
      <w:r w:rsidR="00DD59C0">
        <w:rPr>
          <w:rFonts w:ascii="Arial" w:hAnsi="Arial" w:cs="Arial"/>
          <w:sz w:val="20"/>
        </w:rPr>
        <w:t xml:space="preserve"> from the SRF</w:t>
      </w:r>
      <w:r w:rsidR="008E3871" w:rsidRPr="009E5BDB">
        <w:rPr>
          <w:rFonts w:ascii="Arial" w:hAnsi="Arial" w:cs="Arial"/>
          <w:sz w:val="20"/>
        </w:rPr>
        <w:t xml:space="preserve"> will depend on the structure and plans for a given </w:t>
      </w:r>
      <w:r w:rsidR="00DF2C5F">
        <w:rPr>
          <w:rFonts w:ascii="Arial" w:hAnsi="Arial" w:cs="Arial"/>
          <w:sz w:val="20"/>
        </w:rPr>
        <w:t xml:space="preserve">ECU Strategic Research </w:t>
      </w:r>
      <w:r w:rsidR="008E3871" w:rsidRPr="009E5BDB">
        <w:rPr>
          <w:rFonts w:ascii="Arial" w:hAnsi="Arial" w:cs="Arial"/>
          <w:sz w:val="20"/>
        </w:rPr>
        <w:t xml:space="preserve">Institute or Centre. Items that could be considered include those from the following list, as well as other fully justified costs, within </w:t>
      </w:r>
      <w:r w:rsidR="00C142D7">
        <w:rPr>
          <w:rFonts w:ascii="Arial" w:hAnsi="Arial" w:cs="Arial"/>
          <w:sz w:val="20"/>
        </w:rPr>
        <w:t>a reasonable funding quantum</w:t>
      </w:r>
      <w:r w:rsidR="008E3871" w:rsidRPr="009E5BDB">
        <w:rPr>
          <w:rFonts w:ascii="Arial" w:hAnsi="Arial" w:cs="Arial"/>
          <w:sz w:val="20"/>
        </w:rPr>
        <w:t xml:space="preserve">. </w:t>
      </w:r>
      <w:r w:rsidR="00DD59C0">
        <w:rPr>
          <w:rFonts w:ascii="Arial" w:hAnsi="Arial" w:cs="Arial"/>
          <w:sz w:val="20"/>
        </w:rPr>
        <w:t>It</w:t>
      </w:r>
      <w:r w:rsidR="008E3871" w:rsidRPr="009E5BDB">
        <w:rPr>
          <w:rFonts w:ascii="Arial" w:hAnsi="Arial" w:cs="Arial"/>
          <w:sz w:val="20"/>
        </w:rPr>
        <w:t xml:space="preserve"> is fully expected that most </w:t>
      </w:r>
      <w:r w:rsidR="00DF2C5F">
        <w:rPr>
          <w:rFonts w:ascii="Arial" w:hAnsi="Arial" w:cs="Arial"/>
          <w:sz w:val="20"/>
        </w:rPr>
        <w:t>budget proposals</w:t>
      </w:r>
      <w:r w:rsidR="008E3871" w:rsidRPr="009E5BDB">
        <w:rPr>
          <w:rFonts w:ascii="Arial" w:hAnsi="Arial" w:cs="Arial"/>
          <w:sz w:val="20"/>
        </w:rPr>
        <w:t xml:space="preserve"> will not request funding for everything on the list below.</w:t>
      </w:r>
    </w:p>
    <w:p w14:paraId="095B3BAC" w14:textId="77777777" w:rsidR="008E3871" w:rsidRPr="009E5BDB" w:rsidRDefault="008E3871" w:rsidP="008E3871">
      <w:pPr>
        <w:rPr>
          <w:rFonts w:ascii="Arial" w:hAnsi="Arial" w:cs="Arial"/>
          <w:b/>
          <w:i/>
          <w:sz w:val="20"/>
        </w:rPr>
      </w:pPr>
      <w:r w:rsidRPr="009E5BDB">
        <w:rPr>
          <w:rFonts w:ascii="Arial" w:hAnsi="Arial" w:cs="Arial"/>
          <w:b/>
          <w:i/>
          <w:sz w:val="20"/>
        </w:rPr>
        <w:t>Physical infrastructure</w:t>
      </w:r>
    </w:p>
    <w:p w14:paraId="38B46DF2" w14:textId="70504C73" w:rsidR="004B435B" w:rsidRPr="009E5BDB" w:rsidRDefault="004B435B" w:rsidP="008E3871">
      <w:pPr>
        <w:pStyle w:val="ListParagraph"/>
        <w:numPr>
          <w:ilvl w:val="0"/>
          <w:numId w:val="21"/>
        </w:numPr>
        <w:rPr>
          <w:rFonts w:ascii="Arial" w:hAnsi="Arial" w:cs="Arial"/>
          <w:sz w:val="20"/>
        </w:rPr>
      </w:pPr>
      <w:r w:rsidRPr="009E5BDB">
        <w:rPr>
          <w:rFonts w:ascii="Arial" w:hAnsi="Arial" w:cs="Arial"/>
          <w:sz w:val="20"/>
        </w:rPr>
        <w:t>Laboratory or research studio set-up costs</w:t>
      </w:r>
    </w:p>
    <w:p w14:paraId="7CEABA32" w14:textId="5391D13C" w:rsidR="004B435B" w:rsidRPr="009E5BDB" w:rsidRDefault="004B435B" w:rsidP="008E3871">
      <w:pPr>
        <w:pStyle w:val="ListParagraph"/>
        <w:numPr>
          <w:ilvl w:val="0"/>
          <w:numId w:val="21"/>
        </w:numPr>
        <w:rPr>
          <w:rFonts w:ascii="Arial" w:hAnsi="Arial" w:cs="Arial"/>
          <w:sz w:val="20"/>
        </w:rPr>
      </w:pPr>
      <w:r w:rsidRPr="009E5BDB">
        <w:rPr>
          <w:rFonts w:ascii="Arial" w:hAnsi="Arial" w:cs="Arial"/>
          <w:sz w:val="20"/>
        </w:rPr>
        <w:t xml:space="preserve">Necessary equipment purchases, </w:t>
      </w:r>
      <w:proofErr w:type="gramStart"/>
      <w:r w:rsidRPr="009E5BDB">
        <w:rPr>
          <w:rFonts w:ascii="Arial" w:hAnsi="Arial" w:cs="Arial"/>
          <w:sz w:val="20"/>
        </w:rPr>
        <w:t>updates</w:t>
      </w:r>
      <w:proofErr w:type="gramEnd"/>
      <w:r w:rsidRPr="009E5BDB">
        <w:rPr>
          <w:rFonts w:ascii="Arial" w:hAnsi="Arial" w:cs="Arial"/>
          <w:sz w:val="20"/>
        </w:rPr>
        <w:t xml:space="preserve"> or maintenance costs</w:t>
      </w:r>
    </w:p>
    <w:p w14:paraId="53F615D6" w14:textId="7615C324" w:rsidR="004B435B" w:rsidRPr="009E5BDB" w:rsidRDefault="004B435B" w:rsidP="008E3871">
      <w:pPr>
        <w:pStyle w:val="ListParagraph"/>
        <w:numPr>
          <w:ilvl w:val="0"/>
          <w:numId w:val="21"/>
        </w:numPr>
        <w:rPr>
          <w:rFonts w:ascii="Arial" w:hAnsi="Arial" w:cs="Arial"/>
          <w:sz w:val="20"/>
        </w:rPr>
      </w:pPr>
      <w:r w:rsidRPr="009E5BDB">
        <w:rPr>
          <w:rFonts w:ascii="Arial" w:hAnsi="Arial" w:cs="Arial"/>
          <w:sz w:val="20"/>
        </w:rPr>
        <w:t>Ongoing operations for research laboratories or studio</w:t>
      </w:r>
      <w:r w:rsidR="00681297">
        <w:rPr>
          <w:rFonts w:ascii="Arial" w:hAnsi="Arial" w:cs="Arial"/>
          <w:sz w:val="20"/>
        </w:rPr>
        <w:t>s</w:t>
      </w:r>
    </w:p>
    <w:p w14:paraId="6A52FEB2" w14:textId="3BEC389C" w:rsidR="004B435B" w:rsidRPr="009E5BDB" w:rsidRDefault="004B435B" w:rsidP="008E3871">
      <w:pPr>
        <w:pStyle w:val="ListParagraph"/>
        <w:numPr>
          <w:ilvl w:val="0"/>
          <w:numId w:val="21"/>
        </w:numPr>
        <w:rPr>
          <w:rFonts w:ascii="Arial" w:hAnsi="Arial" w:cs="Arial"/>
          <w:sz w:val="20"/>
        </w:rPr>
      </w:pPr>
      <w:r w:rsidRPr="009E5BDB">
        <w:rPr>
          <w:rFonts w:ascii="Arial" w:hAnsi="Arial" w:cs="Arial"/>
          <w:sz w:val="20"/>
        </w:rPr>
        <w:t>Signage/banners for entity</w:t>
      </w:r>
    </w:p>
    <w:p w14:paraId="095B3BB2" w14:textId="5C243DA5" w:rsidR="008E3871" w:rsidRPr="009E5BDB" w:rsidRDefault="00AC4903" w:rsidP="008E3871">
      <w:pPr>
        <w:rPr>
          <w:rFonts w:ascii="Arial" w:hAnsi="Arial" w:cs="Arial"/>
          <w:b/>
          <w:i/>
          <w:sz w:val="20"/>
        </w:rPr>
      </w:pPr>
      <w:r>
        <w:rPr>
          <w:rFonts w:ascii="Arial" w:hAnsi="Arial" w:cs="Arial"/>
          <w:b/>
          <w:i/>
          <w:sz w:val="20"/>
        </w:rPr>
        <w:t>Research p</w:t>
      </w:r>
      <w:r w:rsidR="008E3871" w:rsidRPr="009E5BDB">
        <w:rPr>
          <w:rFonts w:ascii="Arial" w:hAnsi="Arial" w:cs="Arial"/>
          <w:b/>
          <w:i/>
          <w:sz w:val="20"/>
        </w:rPr>
        <w:t>ersonnel</w:t>
      </w:r>
    </w:p>
    <w:p w14:paraId="2A89FF38" w14:textId="2AC59C66" w:rsidR="000F584D" w:rsidRDefault="000F584D" w:rsidP="008E3871">
      <w:pPr>
        <w:pStyle w:val="ListParagraph"/>
        <w:numPr>
          <w:ilvl w:val="0"/>
          <w:numId w:val="20"/>
        </w:numPr>
        <w:rPr>
          <w:rFonts w:ascii="Arial" w:hAnsi="Arial" w:cs="Arial"/>
          <w:sz w:val="20"/>
        </w:rPr>
      </w:pPr>
      <w:r>
        <w:rPr>
          <w:rFonts w:ascii="Arial" w:hAnsi="Arial" w:cs="Arial"/>
          <w:sz w:val="20"/>
        </w:rPr>
        <w:t xml:space="preserve">Director’s </w:t>
      </w:r>
      <w:r w:rsidR="006940A3">
        <w:rPr>
          <w:rFonts w:ascii="Arial" w:hAnsi="Arial" w:cs="Arial"/>
          <w:sz w:val="20"/>
        </w:rPr>
        <w:t xml:space="preserve">salary </w:t>
      </w:r>
      <w:r>
        <w:rPr>
          <w:rFonts w:ascii="Arial" w:hAnsi="Arial" w:cs="Arial"/>
          <w:sz w:val="20"/>
        </w:rPr>
        <w:t>10% leadership loading</w:t>
      </w:r>
      <w:r w:rsidR="00A07723">
        <w:rPr>
          <w:rFonts w:ascii="Arial" w:hAnsi="Arial" w:cs="Arial"/>
          <w:sz w:val="20"/>
        </w:rPr>
        <w:t>, proportionate to the FTE contribution to the entity</w:t>
      </w:r>
      <w:r w:rsidR="00CA4414">
        <w:rPr>
          <w:rFonts w:ascii="Arial" w:hAnsi="Arial" w:cs="Arial"/>
          <w:sz w:val="20"/>
        </w:rPr>
        <w:t xml:space="preserve"> </w:t>
      </w:r>
      <w:r w:rsidR="00A07723">
        <w:rPr>
          <w:rFonts w:ascii="Arial" w:hAnsi="Arial" w:cs="Arial"/>
          <w:sz w:val="20"/>
        </w:rPr>
        <w:t>(</w:t>
      </w:r>
      <w:proofErr w:type="gramStart"/>
      <w:r w:rsidR="00C142D7">
        <w:rPr>
          <w:rFonts w:ascii="Arial" w:hAnsi="Arial" w:cs="Arial"/>
          <w:sz w:val="20"/>
        </w:rPr>
        <w:t>i.e.</w:t>
      </w:r>
      <w:proofErr w:type="gramEnd"/>
      <w:r w:rsidR="00A07723">
        <w:rPr>
          <w:rFonts w:ascii="Arial" w:hAnsi="Arial" w:cs="Arial"/>
          <w:sz w:val="20"/>
        </w:rPr>
        <w:t xml:space="preserve"> </w:t>
      </w:r>
      <w:r w:rsidR="00056495">
        <w:rPr>
          <w:rFonts w:ascii="Arial" w:hAnsi="Arial" w:cs="Arial"/>
          <w:sz w:val="20"/>
        </w:rPr>
        <w:t xml:space="preserve">For a Director that contributes 0.6 FTE to the Centre, </w:t>
      </w:r>
      <w:r w:rsidR="001013B3">
        <w:rPr>
          <w:rFonts w:ascii="Arial" w:hAnsi="Arial" w:cs="Arial"/>
          <w:sz w:val="20"/>
        </w:rPr>
        <w:t>up to 60% of the 10% leadershi</w:t>
      </w:r>
      <w:r w:rsidR="00FB4A9C">
        <w:rPr>
          <w:rFonts w:ascii="Arial" w:hAnsi="Arial" w:cs="Arial"/>
          <w:sz w:val="20"/>
        </w:rPr>
        <w:t>p loading will only be applied to that fractional role</w:t>
      </w:r>
      <w:r w:rsidR="001013B3">
        <w:rPr>
          <w:rFonts w:ascii="Arial" w:hAnsi="Arial" w:cs="Arial"/>
          <w:sz w:val="20"/>
        </w:rPr>
        <w:t>).</w:t>
      </w:r>
    </w:p>
    <w:p w14:paraId="7E681D21" w14:textId="79AAD0B6" w:rsidR="00FB4A9C" w:rsidRDefault="00FB4A9C" w:rsidP="008E3871">
      <w:pPr>
        <w:pStyle w:val="ListParagraph"/>
        <w:numPr>
          <w:ilvl w:val="0"/>
          <w:numId w:val="20"/>
        </w:numPr>
        <w:rPr>
          <w:rFonts w:ascii="Arial" w:hAnsi="Arial" w:cs="Arial"/>
          <w:sz w:val="20"/>
        </w:rPr>
      </w:pPr>
      <w:r>
        <w:rPr>
          <w:rFonts w:ascii="Arial" w:hAnsi="Arial" w:cs="Arial"/>
          <w:sz w:val="20"/>
        </w:rPr>
        <w:t>It is generally expected that Institute/Centre Directors will hold an existing substantive appointment within the university, so their salary will not be paid from the SRF funding. Consideration to having a component of the Director’s salary fully or partially funded through the ECU Strategic Research Institute or Centre SRF budget, up to the commensurate workload allocation of the Centre, will only be approved on a case-by</w:t>
      </w:r>
      <w:r w:rsidR="009B6ABF">
        <w:rPr>
          <w:rFonts w:ascii="Arial" w:hAnsi="Arial" w:cs="Arial"/>
          <w:sz w:val="20"/>
        </w:rPr>
        <w:t>-case basis to be negotiated between the respective Executive Dean and the Deputy Vice-Chancellor (Research)</w:t>
      </w:r>
      <w:r w:rsidR="00D83442">
        <w:rPr>
          <w:rFonts w:ascii="Arial" w:hAnsi="Arial" w:cs="Arial"/>
          <w:sz w:val="20"/>
        </w:rPr>
        <w:t>. Importantly, approval to cover the costs of the Director’s salary will only be approved in instances where specific strong entity growth and sustainable research excellence performance for the entire entity can still be assured with</w:t>
      </w:r>
      <w:r w:rsidR="002E49CE">
        <w:rPr>
          <w:rFonts w:ascii="Arial" w:hAnsi="Arial" w:cs="Arial"/>
          <w:sz w:val="20"/>
        </w:rPr>
        <w:t>out further SRF funding.</w:t>
      </w:r>
    </w:p>
    <w:p w14:paraId="457DC83B" w14:textId="20802A1C" w:rsidR="00E45E58" w:rsidRDefault="001A5528" w:rsidP="00E45E58">
      <w:pPr>
        <w:pStyle w:val="ListParagraph"/>
        <w:numPr>
          <w:ilvl w:val="0"/>
          <w:numId w:val="20"/>
        </w:numPr>
        <w:rPr>
          <w:rFonts w:ascii="Arial" w:hAnsi="Arial" w:cs="Arial"/>
          <w:sz w:val="20"/>
        </w:rPr>
      </w:pPr>
      <w:r>
        <w:rPr>
          <w:rFonts w:ascii="Arial" w:hAnsi="Arial" w:cs="Arial"/>
          <w:sz w:val="20"/>
        </w:rPr>
        <w:t>Research fellow and p</w:t>
      </w:r>
      <w:r w:rsidR="00E45E58" w:rsidRPr="009E5BDB">
        <w:rPr>
          <w:rFonts w:ascii="Arial" w:hAnsi="Arial" w:cs="Arial"/>
          <w:sz w:val="20"/>
        </w:rPr>
        <w:t>ostdoctoral research fellows</w:t>
      </w:r>
      <w:r w:rsidRPr="00576917">
        <w:rPr>
          <w:rFonts w:ascii="Arial" w:hAnsi="Arial" w:cs="Arial"/>
          <w:sz w:val="20"/>
        </w:rPr>
        <w:t xml:space="preserve"> (but not </w:t>
      </w:r>
      <w:proofErr w:type="gramStart"/>
      <w:r w:rsidRPr="00576917">
        <w:rPr>
          <w:rFonts w:ascii="Arial" w:hAnsi="Arial" w:cs="Arial"/>
          <w:sz w:val="20"/>
        </w:rPr>
        <w:t>as a means to</w:t>
      </w:r>
      <w:proofErr w:type="gramEnd"/>
      <w:r w:rsidRPr="00576917">
        <w:rPr>
          <w:rFonts w:ascii="Arial" w:hAnsi="Arial" w:cs="Arial"/>
          <w:sz w:val="20"/>
        </w:rPr>
        <w:t xml:space="preserve"> extend VC PRF</w:t>
      </w:r>
      <w:r>
        <w:rPr>
          <w:rFonts w:ascii="Arial" w:hAnsi="Arial" w:cs="Arial"/>
          <w:sz w:val="20"/>
        </w:rPr>
        <w:t xml:space="preserve"> or VC RF</w:t>
      </w:r>
      <w:r w:rsidRPr="00576917">
        <w:rPr>
          <w:rFonts w:ascii="Arial" w:hAnsi="Arial" w:cs="Arial"/>
          <w:sz w:val="20"/>
        </w:rPr>
        <w:t xml:space="preserve"> appointments)</w:t>
      </w:r>
    </w:p>
    <w:p w14:paraId="4211C83B" w14:textId="591346D7" w:rsidR="00287665" w:rsidRPr="009E5BDB" w:rsidRDefault="00287665" w:rsidP="00E45E58">
      <w:pPr>
        <w:pStyle w:val="ListParagraph"/>
        <w:numPr>
          <w:ilvl w:val="0"/>
          <w:numId w:val="20"/>
        </w:numPr>
        <w:rPr>
          <w:rFonts w:ascii="Arial" w:hAnsi="Arial" w:cs="Arial"/>
          <w:sz w:val="20"/>
        </w:rPr>
      </w:pPr>
      <w:r>
        <w:rPr>
          <w:rFonts w:ascii="Arial" w:hAnsi="Arial" w:cs="Arial"/>
          <w:sz w:val="20"/>
        </w:rPr>
        <w:t>Top-ups to research salaries not fully covered by external grants</w:t>
      </w:r>
    </w:p>
    <w:p w14:paraId="1A3D8757" w14:textId="53919599" w:rsidR="00E45E58" w:rsidRDefault="00940DA3" w:rsidP="00940DA3">
      <w:pPr>
        <w:pStyle w:val="ListParagraph"/>
        <w:numPr>
          <w:ilvl w:val="0"/>
          <w:numId w:val="20"/>
        </w:numPr>
        <w:rPr>
          <w:rFonts w:ascii="Arial" w:hAnsi="Arial" w:cs="Arial"/>
          <w:sz w:val="20"/>
        </w:rPr>
      </w:pPr>
      <w:r w:rsidRPr="009E5BDB">
        <w:rPr>
          <w:rFonts w:ascii="Arial" w:hAnsi="Arial" w:cs="Arial"/>
          <w:sz w:val="20"/>
        </w:rPr>
        <w:t>Research assistants</w:t>
      </w:r>
    </w:p>
    <w:p w14:paraId="6F6A14A8" w14:textId="4B8B9F6C" w:rsidR="002E0E01" w:rsidRPr="002E0E01" w:rsidRDefault="002E0E01" w:rsidP="002E0E01">
      <w:pPr>
        <w:pStyle w:val="ListParagraph"/>
        <w:numPr>
          <w:ilvl w:val="0"/>
          <w:numId w:val="20"/>
        </w:numPr>
        <w:rPr>
          <w:rFonts w:ascii="Arial" w:hAnsi="Arial" w:cs="Arial"/>
          <w:sz w:val="20"/>
        </w:rPr>
      </w:pPr>
      <w:r w:rsidRPr="009E5BDB">
        <w:rPr>
          <w:rFonts w:ascii="Arial" w:hAnsi="Arial" w:cs="Arial"/>
          <w:sz w:val="20"/>
        </w:rPr>
        <w:t>Technical and special</w:t>
      </w:r>
      <w:r>
        <w:rPr>
          <w:rFonts w:ascii="Arial" w:hAnsi="Arial" w:cs="Arial"/>
          <w:sz w:val="20"/>
        </w:rPr>
        <w:t>ist</w:t>
      </w:r>
      <w:r w:rsidRPr="009E5BDB">
        <w:rPr>
          <w:rFonts w:ascii="Arial" w:hAnsi="Arial" w:cs="Arial"/>
          <w:sz w:val="20"/>
        </w:rPr>
        <w:t xml:space="preserve"> support staff</w:t>
      </w:r>
      <w:r w:rsidRPr="006271FD">
        <w:rPr>
          <w:rFonts w:ascii="Arial" w:hAnsi="Arial" w:cs="Arial"/>
          <w:sz w:val="20"/>
        </w:rPr>
        <w:t xml:space="preserve"> </w:t>
      </w:r>
      <w:r>
        <w:rPr>
          <w:rFonts w:ascii="Arial" w:hAnsi="Arial" w:cs="Arial"/>
          <w:sz w:val="20"/>
        </w:rPr>
        <w:t>(</w:t>
      </w:r>
      <w:proofErr w:type="gramStart"/>
      <w:r>
        <w:rPr>
          <w:rFonts w:ascii="Arial" w:hAnsi="Arial" w:cs="Arial"/>
          <w:sz w:val="20"/>
        </w:rPr>
        <w:t>e.g.</w:t>
      </w:r>
      <w:proofErr w:type="gramEnd"/>
      <w:r>
        <w:rPr>
          <w:rFonts w:ascii="Arial" w:hAnsi="Arial" w:cs="Arial"/>
          <w:sz w:val="20"/>
        </w:rPr>
        <w:t xml:space="preserve"> IT and statistical support)</w:t>
      </w:r>
    </w:p>
    <w:p w14:paraId="40414B64" w14:textId="07494848" w:rsidR="00940DA3" w:rsidRDefault="00CF4C06" w:rsidP="00940DA3">
      <w:pPr>
        <w:pStyle w:val="ListParagraph"/>
        <w:numPr>
          <w:ilvl w:val="0"/>
          <w:numId w:val="20"/>
        </w:numPr>
        <w:rPr>
          <w:rFonts w:ascii="Arial" w:hAnsi="Arial" w:cs="Arial"/>
          <w:sz w:val="20"/>
        </w:rPr>
      </w:pPr>
      <w:r>
        <w:rPr>
          <w:rFonts w:ascii="Arial" w:hAnsi="Arial" w:cs="Arial"/>
          <w:sz w:val="20"/>
        </w:rPr>
        <w:t>E</w:t>
      </w:r>
      <w:r w:rsidR="00940DA3" w:rsidRPr="009E5BDB">
        <w:rPr>
          <w:rFonts w:ascii="Arial" w:hAnsi="Arial" w:cs="Arial"/>
          <w:sz w:val="20"/>
        </w:rPr>
        <w:t xml:space="preserve">ntity-funded HDR </w:t>
      </w:r>
      <w:r w:rsidR="00EF2720">
        <w:rPr>
          <w:rFonts w:ascii="Arial" w:hAnsi="Arial" w:cs="Arial"/>
          <w:sz w:val="20"/>
        </w:rPr>
        <w:t>candidates</w:t>
      </w:r>
      <w:r w:rsidR="00940DA3" w:rsidRPr="009E5BDB">
        <w:rPr>
          <w:rFonts w:ascii="Arial" w:hAnsi="Arial" w:cs="Arial"/>
          <w:sz w:val="20"/>
        </w:rPr>
        <w:t xml:space="preserve"> </w:t>
      </w:r>
      <w:r>
        <w:rPr>
          <w:rFonts w:ascii="Arial" w:hAnsi="Arial" w:cs="Arial"/>
          <w:sz w:val="20"/>
        </w:rPr>
        <w:t>(noting the HDR support expectations of Schools below)</w:t>
      </w:r>
      <w:r w:rsidR="00ED5288">
        <w:rPr>
          <w:rFonts w:ascii="Arial" w:hAnsi="Arial" w:cs="Arial"/>
          <w:sz w:val="20"/>
        </w:rPr>
        <w:t xml:space="preserve"> </w:t>
      </w:r>
    </w:p>
    <w:p w14:paraId="17F36335" w14:textId="77777777" w:rsidR="00916CEE" w:rsidRPr="009E5BDB" w:rsidRDefault="00916CEE" w:rsidP="00916CEE">
      <w:pPr>
        <w:rPr>
          <w:rFonts w:ascii="Arial" w:hAnsi="Arial" w:cs="Arial"/>
          <w:b/>
          <w:i/>
          <w:sz w:val="20"/>
        </w:rPr>
      </w:pPr>
      <w:r w:rsidRPr="009E5BDB">
        <w:rPr>
          <w:rFonts w:ascii="Arial" w:hAnsi="Arial" w:cs="Arial"/>
          <w:b/>
          <w:i/>
          <w:sz w:val="20"/>
        </w:rPr>
        <w:t>Other research conduct infrastructure</w:t>
      </w:r>
    </w:p>
    <w:p w14:paraId="6F31A219" w14:textId="422B1B4D" w:rsidR="00916CEE" w:rsidRDefault="002707B9" w:rsidP="00916CEE">
      <w:pPr>
        <w:pStyle w:val="ListParagraph"/>
        <w:numPr>
          <w:ilvl w:val="0"/>
          <w:numId w:val="20"/>
        </w:numPr>
        <w:rPr>
          <w:rFonts w:ascii="Arial" w:hAnsi="Arial" w:cs="Arial"/>
          <w:sz w:val="20"/>
        </w:rPr>
      </w:pPr>
      <w:r>
        <w:rPr>
          <w:rFonts w:ascii="Arial" w:hAnsi="Arial" w:cs="Arial"/>
          <w:sz w:val="20"/>
        </w:rPr>
        <w:t>Research conduct costs not fully met through awarded Category 1 research project grant funding</w:t>
      </w:r>
      <w:r w:rsidR="00A5441E">
        <w:rPr>
          <w:rFonts w:ascii="Arial" w:hAnsi="Arial" w:cs="Arial"/>
          <w:sz w:val="20"/>
        </w:rPr>
        <w:t xml:space="preserve">. </w:t>
      </w:r>
    </w:p>
    <w:p w14:paraId="5E247B9C" w14:textId="4083E18F" w:rsidR="00916CEE" w:rsidRPr="00995C6A" w:rsidRDefault="00916CEE" w:rsidP="00916CEE">
      <w:pPr>
        <w:pStyle w:val="ListParagraph"/>
        <w:numPr>
          <w:ilvl w:val="0"/>
          <w:numId w:val="20"/>
        </w:numPr>
        <w:rPr>
          <w:rFonts w:ascii="Arial" w:hAnsi="Arial" w:cs="Arial"/>
          <w:sz w:val="20"/>
        </w:rPr>
      </w:pPr>
      <w:r>
        <w:rPr>
          <w:rFonts w:ascii="Arial" w:hAnsi="Arial" w:cs="Arial"/>
          <w:sz w:val="20"/>
        </w:rPr>
        <w:t>Pilot project support</w:t>
      </w:r>
      <w:r w:rsidR="002707B9">
        <w:rPr>
          <w:rFonts w:ascii="Arial" w:hAnsi="Arial" w:cs="Arial"/>
          <w:sz w:val="20"/>
        </w:rPr>
        <w:t>, as a precursor to external funding applications</w:t>
      </w:r>
    </w:p>
    <w:p w14:paraId="38A70A7B" w14:textId="77777777" w:rsidR="00916CEE" w:rsidRPr="009E5BDB" w:rsidRDefault="00916CEE" w:rsidP="00916CEE">
      <w:pPr>
        <w:pStyle w:val="ListParagraph"/>
        <w:numPr>
          <w:ilvl w:val="0"/>
          <w:numId w:val="20"/>
        </w:numPr>
        <w:rPr>
          <w:rFonts w:ascii="Arial" w:hAnsi="Arial" w:cs="Arial"/>
          <w:sz w:val="20"/>
        </w:rPr>
      </w:pPr>
      <w:r w:rsidRPr="009E5BDB">
        <w:rPr>
          <w:rFonts w:ascii="Arial" w:hAnsi="Arial" w:cs="Arial"/>
          <w:sz w:val="20"/>
        </w:rPr>
        <w:t>Computer hardware necessary for research conduct</w:t>
      </w:r>
    </w:p>
    <w:p w14:paraId="7B49DF5B" w14:textId="77777777" w:rsidR="00916CEE" w:rsidRPr="009E5BDB" w:rsidRDefault="00916CEE" w:rsidP="00916CEE">
      <w:pPr>
        <w:pStyle w:val="ListParagraph"/>
        <w:numPr>
          <w:ilvl w:val="0"/>
          <w:numId w:val="21"/>
        </w:numPr>
        <w:rPr>
          <w:rFonts w:ascii="Arial" w:hAnsi="Arial" w:cs="Arial"/>
          <w:sz w:val="20"/>
        </w:rPr>
      </w:pPr>
      <w:r w:rsidRPr="009E5BDB">
        <w:rPr>
          <w:rFonts w:ascii="Arial" w:hAnsi="Arial" w:cs="Arial"/>
          <w:sz w:val="20"/>
        </w:rPr>
        <w:t>Fees</w:t>
      </w:r>
      <w:r>
        <w:rPr>
          <w:rFonts w:ascii="Arial" w:hAnsi="Arial" w:cs="Arial"/>
          <w:sz w:val="20"/>
        </w:rPr>
        <w:t xml:space="preserve"> for</w:t>
      </w:r>
      <w:r w:rsidRPr="009E5BDB">
        <w:rPr>
          <w:rFonts w:ascii="Arial" w:hAnsi="Arial" w:cs="Arial"/>
          <w:sz w:val="20"/>
        </w:rPr>
        <w:t xml:space="preserve"> access to datasets</w:t>
      </w:r>
    </w:p>
    <w:p w14:paraId="5C0A9B9F" w14:textId="77777777" w:rsidR="00916CEE" w:rsidRPr="009E5BDB" w:rsidRDefault="00916CEE" w:rsidP="00916CEE">
      <w:pPr>
        <w:pStyle w:val="ListParagraph"/>
        <w:numPr>
          <w:ilvl w:val="0"/>
          <w:numId w:val="20"/>
        </w:numPr>
        <w:rPr>
          <w:rFonts w:ascii="Arial" w:hAnsi="Arial" w:cs="Arial"/>
          <w:sz w:val="20"/>
        </w:rPr>
      </w:pPr>
      <w:r w:rsidRPr="009E5BDB">
        <w:rPr>
          <w:rFonts w:ascii="Arial" w:hAnsi="Arial" w:cs="Arial"/>
          <w:sz w:val="20"/>
        </w:rPr>
        <w:t xml:space="preserve">Photography, </w:t>
      </w:r>
      <w:proofErr w:type="gramStart"/>
      <w:r w:rsidRPr="009E5BDB">
        <w:rPr>
          <w:rFonts w:ascii="Arial" w:hAnsi="Arial" w:cs="Arial"/>
          <w:sz w:val="20"/>
        </w:rPr>
        <w:t>video</w:t>
      </w:r>
      <w:proofErr w:type="gramEnd"/>
      <w:r w:rsidRPr="009E5BDB">
        <w:rPr>
          <w:rFonts w:ascii="Arial" w:hAnsi="Arial" w:cs="Arial"/>
          <w:sz w:val="20"/>
        </w:rPr>
        <w:t xml:space="preserve"> and other audio-visual needs</w:t>
      </w:r>
    </w:p>
    <w:p w14:paraId="1E00FC74" w14:textId="77777777" w:rsidR="00916CEE" w:rsidRPr="009E5BDB" w:rsidRDefault="00916CEE" w:rsidP="00916CEE">
      <w:pPr>
        <w:pStyle w:val="ListParagraph"/>
        <w:numPr>
          <w:ilvl w:val="0"/>
          <w:numId w:val="20"/>
        </w:numPr>
        <w:rPr>
          <w:rFonts w:ascii="Arial" w:hAnsi="Arial" w:cs="Arial"/>
          <w:sz w:val="20"/>
        </w:rPr>
      </w:pPr>
      <w:r w:rsidRPr="009E5BDB">
        <w:rPr>
          <w:rFonts w:ascii="Arial" w:hAnsi="Arial" w:cs="Arial"/>
          <w:sz w:val="20"/>
        </w:rPr>
        <w:t>Publication preparation and/or submission and/or publication costs</w:t>
      </w:r>
    </w:p>
    <w:p w14:paraId="26E1B1E1" w14:textId="77777777" w:rsidR="00916CEE" w:rsidRPr="009E5BDB" w:rsidRDefault="00916CEE" w:rsidP="00916CEE">
      <w:pPr>
        <w:pStyle w:val="ListParagraph"/>
        <w:numPr>
          <w:ilvl w:val="0"/>
          <w:numId w:val="21"/>
        </w:numPr>
        <w:rPr>
          <w:rFonts w:ascii="Arial" w:hAnsi="Arial" w:cs="Arial"/>
          <w:sz w:val="20"/>
        </w:rPr>
      </w:pPr>
      <w:r w:rsidRPr="009E5BDB">
        <w:rPr>
          <w:rFonts w:ascii="Arial" w:hAnsi="Arial" w:cs="Arial"/>
          <w:sz w:val="20"/>
        </w:rPr>
        <w:t>Software and other technical licensing</w:t>
      </w:r>
    </w:p>
    <w:p w14:paraId="63B12FF1" w14:textId="4565BEA5" w:rsidR="00916CEE" w:rsidRPr="00916CEE" w:rsidRDefault="00916CEE" w:rsidP="00916CEE">
      <w:pPr>
        <w:pStyle w:val="ListParagraph"/>
        <w:numPr>
          <w:ilvl w:val="0"/>
          <w:numId w:val="20"/>
        </w:numPr>
        <w:rPr>
          <w:rFonts w:ascii="Arial" w:hAnsi="Arial" w:cs="Arial"/>
          <w:sz w:val="20"/>
        </w:rPr>
      </w:pPr>
      <w:r w:rsidRPr="009E5BDB">
        <w:rPr>
          <w:rFonts w:ascii="Arial" w:hAnsi="Arial" w:cs="Arial"/>
          <w:sz w:val="20"/>
        </w:rPr>
        <w:t>Statistical</w:t>
      </w:r>
      <w:r>
        <w:rPr>
          <w:rFonts w:ascii="Arial" w:hAnsi="Arial" w:cs="Arial"/>
          <w:sz w:val="20"/>
        </w:rPr>
        <w:t>,</w:t>
      </w:r>
      <w:r w:rsidRPr="009E5BDB">
        <w:rPr>
          <w:rFonts w:ascii="Arial" w:hAnsi="Arial" w:cs="Arial"/>
          <w:sz w:val="20"/>
        </w:rPr>
        <w:t xml:space="preserve"> other </w:t>
      </w:r>
      <w:r>
        <w:rPr>
          <w:rFonts w:ascii="Arial" w:hAnsi="Arial" w:cs="Arial"/>
          <w:sz w:val="20"/>
        </w:rPr>
        <w:t>research methodology and/or</w:t>
      </w:r>
      <w:r w:rsidRPr="009E5BDB">
        <w:rPr>
          <w:rFonts w:ascii="Arial" w:hAnsi="Arial" w:cs="Arial"/>
          <w:sz w:val="20"/>
        </w:rPr>
        <w:t xml:space="preserve"> IT support</w:t>
      </w:r>
    </w:p>
    <w:p w14:paraId="095B3BBA" w14:textId="6FE65222" w:rsidR="008E3871" w:rsidRPr="009E5BDB" w:rsidRDefault="008E3871" w:rsidP="008E3871">
      <w:pPr>
        <w:rPr>
          <w:rFonts w:ascii="Arial" w:hAnsi="Arial" w:cs="Arial"/>
          <w:b/>
          <w:i/>
          <w:sz w:val="20"/>
        </w:rPr>
      </w:pPr>
      <w:r w:rsidRPr="009E5BDB">
        <w:rPr>
          <w:rFonts w:ascii="Arial" w:hAnsi="Arial" w:cs="Arial"/>
          <w:b/>
          <w:i/>
          <w:sz w:val="20"/>
        </w:rPr>
        <w:t xml:space="preserve">Governance </w:t>
      </w:r>
      <w:r w:rsidR="008E1F4B">
        <w:rPr>
          <w:rFonts w:ascii="Arial" w:hAnsi="Arial" w:cs="Arial"/>
          <w:b/>
          <w:i/>
          <w:sz w:val="20"/>
        </w:rPr>
        <w:t xml:space="preserve">and operations </w:t>
      </w:r>
      <w:r w:rsidR="00226139">
        <w:rPr>
          <w:rFonts w:ascii="Arial" w:hAnsi="Arial" w:cs="Arial"/>
          <w:b/>
          <w:i/>
          <w:sz w:val="20"/>
        </w:rPr>
        <w:t xml:space="preserve">support </w:t>
      </w:r>
    </w:p>
    <w:p w14:paraId="0A0A2BD5" w14:textId="77777777" w:rsidR="00916CEE" w:rsidRPr="00351008" w:rsidRDefault="00916CEE" w:rsidP="00916CEE">
      <w:pPr>
        <w:pStyle w:val="ListParagraph"/>
        <w:numPr>
          <w:ilvl w:val="0"/>
          <w:numId w:val="22"/>
        </w:numPr>
        <w:rPr>
          <w:rFonts w:ascii="Arial" w:hAnsi="Arial" w:cs="Arial"/>
          <w:sz w:val="20"/>
        </w:rPr>
      </w:pPr>
      <w:r w:rsidRPr="009E5BDB">
        <w:rPr>
          <w:rFonts w:ascii="Arial" w:hAnsi="Arial" w:cs="Arial"/>
          <w:sz w:val="20"/>
        </w:rPr>
        <w:t>Conference attendance fees for members and associated travel</w:t>
      </w:r>
      <w:r>
        <w:rPr>
          <w:rFonts w:ascii="Arial" w:hAnsi="Arial" w:cs="Arial"/>
          <w:sz w:val="20"/>
        </w:rPr>
        <w:t xml:space="preserve"> </w:t>
      </w:r>
    </w:p>
    <w:p w14:paraId="13A2DFF3" w14:textId="1326E772" w:rsidR="00916CEE" w:rsidRPr="00504BC7" w:rsidRDefault="00916CEE" w:rsidP="00504BC7">
      <w:pPr>
        <w:pStyle w:val="ListParagraph"/>
        <w:numPr>
          <w:ilvl w:val="0"/>
          <w:numId w:val="22"/>
        </w:numPr>
        <w:rPr>
          <w:rFonts w:ascii="Arial" w:hAnsi="Arial" w:cs="Arial"/>
          <w:sz w:val="20"/>
        </w:rPr>
      </w:pPr>
      <w:r w:rsidRPr="009E5BDB">
        <w:rPr>
          <w:rFonts w:ascii="Arial" w:hAnsi="Arial" w:cs="Arial"/>
          <w:sz w:val="20"/>
        </w:rPr>
        <w:t>Other research-related travel and networking activities</w:t>
      </w:r>
      <w:r>
        <w:rPr>
          <w:rFonts w:ascii="Arial" w:hAnsi="Arial" w:cs="Arial"/>
          <w:sz w:val="20"/>
        </w:rPr>
        <w:t xml:space="preserve"> </w:t>
      </w:r>
    </w:p>
    <w:p w14:paraId="6A76186F" w14:textId="77777777" w:rsidR="00916CEE" w:rsidRPr="009E5BDB" w:rsidRDefault="00916CEE" w:rsidP="00916CEE">
      <w:pPr>
        <w:pStyle w:val="ListParagraph"/>
        <w:numPr>
          <w:ilvl w:val="0"/>
          <w:numId w:val="22"/>
        </w:numPr>
        <w:rPr>
          <w:rFonts w:ascii="Arial" w:hAnsi="Arial" w:cs="Arial"/>
          <w:sz w:val="20"/>
        </w:rPr>
      </w:pPr>
      <w:r w:rsidRPr="009E5BDB">
        <w:rPr>
          <w:rFonts w:ascii="Arial" w:hAnsi="Arial" w:cs="Arial"/>
          <w:sz w:val="20"/>
        </w:rPr>
        <w:t>Sponsorship of relevant conferences</w:t>
      </w:r>
      <w:r>
        <w:rPr>
          <w:rFonts w:ascii="Arial" w:hAnsi="Arial" w:cs="Arial"/>
          <w:sz w:val="20"/>
        </w:rPr>
        <w:t xml:space="preserve"> </w:t>
      </w:r>
    </w:p>
    <w:p w14:paraId="03FFDE92" w14:textId="4764FB67" w:rsidR="00916CEE" w:rsidRPr="00916CEE" w:rsidRDefault="00916CEE" w:rsidP="00916CEE">
      <w:pPr>
        <w:pStyle w:val="ListParagraph"/>
        <w:numPr>
          <w:ilvl w:val="0"/>
          <w:numId w:val="22"/>
        </w:numPr>
        <w:rPr>
          <w:rFonts w:ascii="Arial" w:hAnsi="Arial" w:cs="Arial"/>
          <w:sz w:val="20"/>
        </w:rPr>
      </w:pPr>
      <w:r w:rsidRPr="009E5BDB">
        <w:rPr>
          <w:rFonts w:ascii="Arial" w:hAnsi="Arial" w:cs="Arial"/>
          <w:sz w:val="20"/>
        </w:rPr>
        <w:t>Visiting research fellows</w:t>
      </w:r>
      <w:r>
        <w:rPr>
          <w:rFonts w:ascii="Arial" w:hAnsi="Arial" w:cs="Arial"/>
          <w:sz w:val="20"/>
        </w:rPr>
        <w:t xml:space="preserve"> </w:t>
      </w:r>
    </w:p>
    <w:p w14:paraId="12017778" w14:textId="3DE136CB" w:rsidR="002E0E01" w:rsidRPr="002E0E01" w:rsidRDefault="002E0E01" w:rsidP="002E0E01">
      <w:pPr>
        <w:pStyle w:val="ListParagraph"/>
        <w:numPr>
          <w:ilvl w:val="0"/>
          <w:numId w:val="22"/>
        </w:numPr>
        <w:rPr>
          <w:rFonts w:ascii="Arial" w:hAnsi="Arial" w:cs="Arial"/>
          <w:sz w:val="20"/>
        </w:rPr>
      </w:pPr>
      <w:r w:rsidRPr="009E5BDB">
        <w:rPr>
          <w:rFonts w:ascii="Arial" w:hAnsi="Arial" w:cs="Arial"/>
          <w:sz w:val="20"/>
        </w:rPr>
        <w:t>Research administration support</w:t>
      </w:r>
    </w:p>
    <w:p w14:paraId="5F6925E7" w14:textId="77777777" w:rsidR="0016293E" w:rsidRPr="002A4115" w:rsidRDefault="0016293E" w:rsidP="0016293E">
      <w:pPr>
        <w:pStyle w:val="ListParagraph"/>
        <w:numPr>
          <w:ilvl w:val="0"/>
          <w:numId w:val="22"/>
        </w:numPr>
        <w:rPr>
          <w:rFonts w:ascii="Arial" w:hAnsi="Arial" w:cs="Arial"/>
          <w:sz w:val="20"/>
        </w:rPr>
      </w:pPr>
      <w:r w:rsidRPr="002A4115">
        <w:rPr>
          <w:rFonts w:ascii="Arial" w:hAnsi="Arial" w:cs="Arial"/>
          <w:sz w:val="20"/>
        </w:rPr>
        <w:t>Grant writing assistance</w:t>
      </w:r>
    </w:p>
    <w:p w14:paraId="095B3BBB" w14:textId="72D5EC5C" w:rsidR="008E3871" w:rsidRDefault="008E3871" w:rsidP="008E3871">
      <w:pPr>
        <w:pStyle w:val="ListParagraph"/>
        <w:numPr>
          <w:ilvl w:val="0"/>
          <w:numId w:val="22"/>
        </w:numPr>
        <w:rPr>
          <w:rFonts w:ascii="Arial" w:hAnsi="Arial" w:cs="Arial"/>
          <w:sz w:val="20"/>
        </w:rPr>
      </w:pPr>
      <w:r w:rsidRPr="009E5BDB">
        <w:rPr>
          <w:rFonts w:ascii="Arial" w:hAnsi="Arial" w:cs="Arial"/>
          <w:sz w:val="20"/>
        </w:rPr>
        <w:t>Costs associated with the hosting of committee and advisory board meetings</w:t>
      </w:r>
    </w:p>
    <w:p w14:paraId="314492F2" w14:textId="2EC62CD9" w:rsidR="009A1F47" w:rsidRPr="009E5BDB" w:rsidRDefault="009A1F47" w:rsidP="008E3871">
      <w:pPr>
        <w:pStyle w:val="ListParagraph"/>
        <w:numPr>
          <w:ilvl w:val="0"/>
          <w:numId w:val="22"/>
        </w:numPr>
        <w:rPr>
          <w:rFonts w:ascii="Arial" w:hAnsi="Arial" w:cs="Arial"/>
          <w:sz w:val="20"/>
        </w:rPr>
      </w:pPr>
      <w:r w:rsidRPr="009E5BDB">
        <w:rPr>
          <w:rFonts w:ascii="Arial" w:hAnsi="Arial" w:cs="Arial"/>
          <w:sz w:val="20"/>
        </w:rPr>
        <w:t>Hiring of facilities off campus for research meetings</w:t>
      </w:r>
    </w:p>
    <w:p w14:paraId="6E1056BF" w14:textId="7960412B" w:rsidR="009A1F47" w:rsidRPr="009A1F47" w:rsidRDefault="008E3871" w:rsidP="009A1F47">
      <w:pPr>
        <w:pStyle w:val="ListParagraph"/>
        <w:numPr>
          <w:ilvl w:val="0"/>
          <w:numId w:val="20"/>
        </w:numPr>
        <w:rPr>
          <w:rFonts w:ascii="Arial" w:hAnsi="Arial" w:cs="Arial"/>
          <w:sz w:val="20"/>
        </w:rPr>
      </w:pPr>
      <w:r w:rsidRPr="009E5BDB">
        <w:rPr>
          <w:rFonts w:ascii="Arial" w:hAnsi="Arial" w:cs="Arial"/>
          <w:sz w:val="20"/>
        </w:rPr>
        <w:t xml:space="preserve">Honorariums for external members of advisory board or committees </w:t>
      </w:r>
    </w:p>
    <w:p w14:paraId="137660FA" w14:textId="13EA87F9" w:rsidR="009A1F47" w:rsidRDefault="009A1F47" w:rsidP="008E3871">
      <w:pPr>
        <w:pStyle w:val="ListParagraph"/>
        <w:numPr>
          <w:ilvl w:val="0"/>
          <w:numId w:val="20"/>
        </w:numPr>
        <w:rPr>
          <w:rFonts w:ascii="Arial" w:hAnsi="Arial" w:cs="Arial"/>
          <w:sz w:val="20"/>
        </w:rPr>
      </w:pPr>
      <w:r>
        <w:rPr>
          <w:rFonts w:ascii="Arial" w:hAnsi="Arial" w:cs="Arial"/>
          <w:sz w:val="20"/>
        </w:rPr>
        <w:t>Strategic advice to the entity (</w:t>
      </w:r>
      <w:r w:rsidR="00605581">
        <w:rPr>
          <w:rFonts w:ascii="Arial" w:hAnsi="Arial" w:cs="Arial"/>
          <w:sz w:val="20"/>
        </w:rPr>
        <w:t>through consultancies)</w:t>
      </w:r>
    </w:p>
    <w:p w14:paraId="5B3EA5B3" w14:textId="77777777" w:rsidR="008E7986" w:rsidRPr="009E5BDB" w:rsidRDefault="008E7986" w:rsidP="008E7986">
      <w:pPr>
        <w:pStyle w:val="ListParagraph"/>
        <w:numPr>
          <w:ilvl w:val="0"/>
          <w:numId w:val="20"/>
        </w:numPr>
        <w:rPr>
          <w:rFonts w:ascii="Arial" w:hAnsi="Arial" w:cs="Arial"/>
          <w:sz w:val="20"/>
        </w:rPr>
      </w:pPr>
      <w:r>
        <w:rPr>
          <w:rFonts w:ascii="Arial" w:hAnsi="Arial" w:cs="Arial"/>
          <w:sz w:val="20"/>
        </w:rPr>
        <w:t>Business development roles</w:t>
      </w:r>
    </w:p>
    <w:p w14:paraId="0D679E8B" w14:textId="77777777" w:rsidR="008E7986" w:rsidRPr="009E5BDB" w:rsidRDefault="008E7986" w:rsidP="008E7986">
      <w:pPr>
        <w:pStyle w:val="ListParagraph"/>
        <w:numPr>
          <w:ilvl w:val="0"/>
          <w:numId w:val="20"/>
        </w:numPr>
        <w:rPr>
          <w:rFonts w:ascii="Arial" w:hAnsi="Arial" w:cs="Arial"/>
          <w:sz w:val="20"/>
        </w:rPr>
      </w:pPr>
      <w:r w:rsidRPr="009E5BDB">
        <w:rPr>
          <w:rFonts w:ascii="Arial" w:hAnsi="Arial" w:cs="Arial"/>
          <w:sz w:val="20"/>
        </w:rPr>
        <w:t>External industry liaison roles</w:t>
      </w:r>
    </w:p>
    <w:p w14:paraId="225613B4" w14:textId="4A3760FC" w:rsidR="008E7986" w:rsidRPr="00351008" w:rsidRDefault="00351008" w:rsidP="00351008">
      <w:pPr>
        <w:pStyle w:val="ListParagraph"/>
        <w:numPr>
          <w:ilvl w:val="0"/>
          <w:numId w:val="20"/>
        </w:numPr>
        <w:rPr>
          <w:rFonts w:ascii="Arial" w:hAnsi="Arial" w:cs="Arial"/>
          <w:sz w:val="20"/>
        </w:rPr>
      </w:pPr>
      <w:r w:rsidRPr="009E5BDB">
        <w:rPr>
          <w:rFonts w:ascii="Arial" w:hAnsi="Arial" w:cs="Arial"/>
          <w:sz w:val="20"/>
        </w:rPr>
        <w:t xml:space="preserve">Communications, </w:t>
      </w:r>
      <w:proofErr w:type="gramStart"/>
      <w:r w:rsidRPr="009E5BDB">
        <w:rPr>
          <w:rFonts w:ascii="Arial" w:hAnsi="Arial" w:cs="Arial"/>
          <w:sz w:val="20"/>
        </w:rPr>
        <w:t>media</w:t>
      </w:r>
      <w:proofErr w:type="gramEnd"/>
      <w:r w:rsidRPr="009E5BDB">
        <w:rPr>
          <w:rFonts w:ascii="Arial" w:hAnsi="Arial" w:cs="Arial"/>
          <w:sz w:val="20"/>
        </w:rPr>
        <w:t xml:space="preserve"> and external promotions, including social media, support and web-presence updates</w:t>
      </w:r>
    </w:p>
    <w:p w14:paraId="095B3BD3" w14:textId="3738B470" w:rsidR="008E3871" w:rsidRPr="009E5BDB" w:rsidRDefault="008E3871" w:rsidP="008E3871">
      <w:pPr>
        <w:pStyle w:val="Heading2"/>
        <w:rPr>
          <w:rFonts w:ascii="Arial" w:hAnsi="Arial" w:cs="Arial"/>
          <w:sz w:val="24"/>
        </w:rPr>
      </w:pPr>
      <w:r w:rsidRPr="009E5BDB">
        <w:rPr>
          <w:rFonts w:ascii="Arial" w:hAnsi="Arial" w:cs="Arial"/>
          <w:sz w:val="24"/>
        </w:rPr>
        <w:t>What cannot be requested</w:t>
      </w:r>
      <w:r w:rsidR="00AA1EE1">
        <w:rPr>
          <w:rFonts w:ascii="Arial" w:hAnsi="Arial" w:cs="Arial"/>
          <w:sz w:val="24"/>
        </w:rPr>
        <w:t xml:space="preserve"> for SRF </w:t>
      </w:r>
      <w:r w:rsidR="00FF168A">
        <w:rPr>
          <w:rFonts w:ascii="Arial" w:hAnsi="Arial" w:cs="Arial"/>
          <w:sz w:val="24"/>
        </w:rPr>
        <w:t xml:space="preserve">ECU Strategic Research Institute or Centre </w:t>
      </w:r>
      <w:r w:rsidR="00AA1EE1">
        <w:rPr>
          <w:rFonts w:ascii="Arial" w:hAnsi="Arial" w:cs="Arial"/>
          <w:sz w:val="24"/>
        </w:rPr>
        <w:t xml:space="preserve">funding: </w:t>
      </w:r>
    </w:p>
    <w:p w14:paraId="73D71E5A" w14:textId="4C79A1C0" w:rsidR="004979AE" w:rsidRPr="00884322" w:rsidRDefault="00075EEB" w:rsidP="00884322">
      <w:pPr>
        <w:pStyle w:val="ListParagraph"/>
        <w:numPr>
          <w:ilvl w:val="0"/>
          <w:numId w:val="19"/>
        </w:numPr>
        <w:rPr>
          <w:rFonts w:ascii="Arial" w:hAnsi="Arial" w:cs="Arial"/>
          <w:sz w:val="20"/>
        </w:rPr>
      </w:pPr>
      <w:r>
        <w:rPr>
          <w:rFonts w:ascii="Arial" w:hAnsi="Arial" w:cs="Arial"/>
          <w:sz w:val="20"/>
        </w:rPr>
        <w:t>F</w:t>
      </w:r>
      <w:r w:rsidR="00FB1E5E">
        <w:rPr>
          <w:rFonts w:ascii="Arial" w:hAnsi="Arial" w:cs="Arial"/>
          <w:sz w:val="20"/>
        </w:rPr>
        <w:t xml:space="preserve">unding for salary top-ups for Category 1 </w:t>
      </w:r>
      <w:r w:rsidR="009510FE">
        <w:rPr>
          <w:rFonts w:ascii="Arial" w:hAnsi="Arial" w:cs="Arial"/>
          <w:sz w:val="20"/>
        </w:rPr>
        <w:t>Fellowships</w:t>
      </w:r>
      <w:r w:rsidR="005602B4">
        <w:rPr>
          <w:rFonts w:ascii="Arial" w:hAnsi="Arial" w:cs="Arial"/>
          <w:sz w:val="20"/>
        </w:rPr>
        <w:t xml:space="preserve"> directly awarded to an individual based on their personal research excellence</w:t>
      </w:r>
      <w:r w:rsidR="009510FE">
        <w:rPr>
          <w:rFonts w:ascii="Arial" w:hAnsi="Arial" w:cs="Arial"/>
          <w:sz w:val="20"/>
        </w:rPr>
        <w:t xml:space="preserve">. This is already </w:t>
      </w:r>
      <w:r w:rsidR="00FF168A">
        <w:rPr>
          <w:rFonts w:ascii="Arial" w:hAnsi="Arial" w:cs="Arial"/>
          <w:sz w:val="20"/>
        </w:rPr>
        <w:t>supported</w:t>
      </w:r>
      <w:r w:rsidR="009510FE">
        <w:rPr>
          <w:rFonts w:ascii="Arial" w:hAnsi="Arial" w:cs="Arial"/>
          <w:sz w:val="20"/>
        </w:rPr>
        <w:t xml:space="preserve"> through the </w:t>
      </w:r>
      <w:proofErr w:type="gramStart"/>
      <w:r w:rsidR="009510FE">
        <w:rPr>
          <w:rFonts w:ascii="Arial" w:hAnsi="Arial" w:cs="Arial"/>
          <w:sz w:val="20"/>
        </w:rPr>
        <w:t>SRF</w:t>
      </w:r>
      <w:r>
        <w:rPr>
          <w:rFonts w:ascii="Arial" w:hAnsi="Arial" w:cs="Arial"/>
          <w:sz w:val="20"/>
        </w:rPr>
        <w:t>, and</w:t>
      </w:r>
      <w:proofErr w:type="gramEnd"/>
      <w:r>
        <w:rPr>
          <w:rFonts w:ascii="Arial" w:hAnsi="Arial" w:cs="Arial"/>
          <w:sz w:val="20"/>
        </w:rPr>
        <w:t xml:space="preserve"> should not be included in the SRF allocation to ECU Strategic Research Institutes of Centres</w:t>
      </w:r>
      <w:r w:rsidR="00C35789">
        <w:rPr>
          <w:rFonts w:ascii="Arial" w:hAnsi="Arial" w:cs="Arial"/>
          <w:sz w:val="20"/>
        </w:rPr>
        <w:t xml:space="preserve">. </w:t>
      </w:r>
      <w:r>
        <w:rPr>
          <w:rFonts w:ascii="Arial" w:hAnsi="Arial" w:cs="Arial"/>
          <w:sz w:val="20"/>
        </w:rPr>
        <w:t xml:space="preserve"> </w:t>
      </w:r>
    </w:p>
    <w:p w14:paraId="684FB144" w14:textId="4115BBEF" w:rsidR="0067429D" w:rsidRPr="009E5BDB" w:rsidRDefault="001C3564" w:rsidP="008E3871">
      <w:pPr>
        <w:pStyle w:val="ListParagraph"/>
        <w:numPr>
          <w:ilvl w:val="0"/>
          <w:numId w:val="19"/>
        </w:numPr>
        <w:rPr>
          <w:rFonts w:ascii="Arial" w:hAnsi="Arial" w:cs="Arial"/>
          <w:sz w:val="20"/>
        </w:rPr>
      </w:pPr>
      <w:r>
        <w:rPr>
          <w:rFonts w:ascii="Arial" w:hAnsi="Arial" w:cs="Arial"/>
          <w:sz w:val="20"/>
        </w:rPr>
        <w:t>Laptops, m</w:t>
      </w:r>
      <w:r w:rsidR="0067429D" w:rsidRPr="009E5BDB">
        <w:rPr>
          <w:rFonts w:ascii="Arial" w:hAnsi="Arial" w:cs="Arial"/>
          <w:sz w:val="20"/>
        </w:rPr>
        <w:t xml:space="preserve">obile </w:t>
      </w:r>
      <w:proofErr w:type="gramStart"/>
      <w:r w:rsidR="0067429D" w:rsidRPr="009E5BDB">
        <w:rPr>
          <w:rFonts w:ascii="Arial" w:hAnsi="Arial" w:cs="Arial"/>
          <w:sz w:val="20"/>
        </w:rPr>
        <w:t>phones</w:t>
      </w:r>
      <w:proofErr w:type="gramEnd"/>
      <w:r w:rsidR="0067429D" w:rsidRPr="009E5BDB">
        <w:rPr>
          <w:rFonts w:ascii="Arial" w:hAnsi="Arial" w:cs="Arial"/>
          <w:sz w:val="20"/>
        </w:rPr>
        <w:t xml:space="preserve"> or other IT use charges</w:t>
      </w:r>
    </w:p>
    <w:p w14:paraId="54506BB2" w14:textId="0A74A060" w:rsidR="0067429D" w:rsidRPr="009E5BDB" w:rsidRDefault="0067429D" w:rsidP="008E3871">
      <w:pPr>
        <w:pStyle w:val="ListParagraph"/>
        <w:numPr>
          <w:ilvl w:val="0"/>
          <w:numId w:val="19"/>
        </w:numPr>
        <w:rPr>
          <w:rFonts w:ascii="Arial" w:hAnsi="Arial" w:cs="Arial"/>
          <w:sz w:val="20"/>
        </w:rPr>
      </w:pPr>
      <w:r>
        <w:rPr>
          <w:rFonts w:ascii="Arial" w:hAnsi="Arial" w:cs="Arial"/>
          <w:sz w:val="20"/>
        </w:rPr>
        <w:t>R</w:t>
      </w:r>
      <w:r w:rsidRPr="009E5BDB">
        <w:rPr>
          <w:rFonts w:ascii="Arial" w:hAnsi="Arial" w:cs="Arial"/>
          <w:sz w:val="20"/>
        </w:rPr>
        <w:t>esearch workload allocation components of salaries of staff who have existing substantive appointments at ECU, including buy-out of teaching</w:t>
      </w:r>
      <w:r w:rsidR="00F85580">
        <w:rPr>
          <w:rFonts w:ascii="Arial" w:hAnsi="Arial" w:cs="Arial"/>
          <w:sz w:val="20"/>
        </w:rPr>
        <w:t xml:space="preserve"> (</w:t>
      </w:r>
      <w:proofErr w:type="gramStart"/>
      <w:r w:rsidR="00C961D3">
        <w:rPr>
          <w:rFonts w:ascii="Arial" w:hAnsi="Arial" w:cs="Arial"/>
          <w:sz w:val="20"/>
        </w:rPr>
        <w:t>with the exception of</w:t>
      </w:r>
      <w:proofErr w:type="gramEnd"/>
      <w:r w:rsidR="00C961D3">
        <w:rPr>
          <w:rFonts w:ascii="Arial" w:hAnsi="Arial" w:cs="Arial"/>
          <w:sz w:val="20"/>
        </w:rPr>
        <w:t xml:space="preserve"> the</w:t>
      </w:r>
      <w:r w:rsidR="00F85580">
        <w:rPr>
          <w:rFonts w:ascii="Arial" w:hAnsi="Arial" w:cs="Arial"/>
          <w:sz w:val="20"/>
        </w:rPr>
        <w:t xml:space="preserve"> Director</w:t>
      </w:r>
      <w:r w:rsidR="001310CD">
        <w:rPr>
          <w:rFonts w:ascii="Arial" w:hAnsi="Arial" w:cs="Arial"/>
          <w:sz w:val="20"/>
        </w:rPr>
        <w:t>’s salary</w:t>
      </w:r>
      <w:r w:rsidR="00990A24">
        <w:rPr>
          <w:rFonts w:ascii="Arial" w:hAnsi="Arial" w:cs="Arial"/>
          <w:sz w:val="20"/>
        </w:rPr>
        <w:t>, under specific circumstances</w:t>
      </w:r>
      <w:r w:rsidR="00F85580">
        <w:rPr>
          <w:rFonts w:ascii="Arial" w:hAnsi="Arial" w:cs="Arial"/>
          <w:sz w:val="20"/>
        </w:rPr>
        <w:t xml:space="preserve">). </w:t>
      </w:r>
    </w:p>
    <w:p w14:paraId="2C407E61" w14:textId="67ECD685" w:rsidR="0067429D" w:rsidRPr="009E5BDB" w:rsidRDefault="0067429D" w:rsidP="008E3871">
      <w:pPr>
        <w:pStyle w:val="ListParagraph"/>
        <w:numPr>
          <w:ilvl w:val="0"/>
          <w:numId w:val="19"/>
        </w:numPr>
        <w:rPr>
          <w:rFonts w:ascii="Arial" w:hAnsi="Arial" w:cs="Arial"/>
          <w:sz w:val="20"/>
        </w:rPr>
      </w:pPr>
      <w:r>
        <w:rPr>
          <w:rFonts w:ascii="Arial" w:hAnsi="Arial" w:cs="Arial"/>
          <w:sz w:val="20"/>
        </w:rPr>
        <w:t>S</w:t>
      </w:r>
      <w:r w:rsidRPr="009E5BDB">
        <w:rPr>
          <w:rFonts w:ascii="Arial" w:hAnsi="Arial" w:cs="Arial"/>
          <w:sz w:val="20"/>
        </w:rPr>
        <w:t xml:space="preserve">alaries, or salary components, of people who are not working directly to further the research </w:t>
      </w:r>
      <w:r w:rsidR="000329A1">
        <w:rPr>
          <w:rFonts w:ascii="Arial" w:hAnsi="Arial" w:cs="Arial"/>
          <w:sz w:val="20"/>
        </w:rPr>
        <w:t>goals</w:t>
      </w:r>
      <w:r w:rsidRPr="009E5BDB">
        <w:rPr>
          <w:rFonts w:ascii="Arial" w:hAnsi="Arial" w:cs="Arial"/>
          <w:sz w:val="20"/>
        </w:rPr>
        <w:t xml:space="preserve"> of the entity</w:t>
      </w:r>
    </w:p>
    <w:p w14:paraId="413D2C99" w14:textId="176993B4" w:rsidR="0067429D" w:rsidRPr="009E5BDB" w:rsidRDefault="0067429D" w:rsidP="008E3871">
      <w:pPr>
        <w:pStyle w:val="ListParagraph"/>
        <w:numPr>
          <w:ilvl w:val="0"/>
          <w:numId w:val="19"/>
        </w:numPr>
        <w:rPr>
          <w:rFonts w:ascii="Arial" w:hAnsi="Arial" w:cs="Arial"/>
          <w:sz w:val="20"/>
        </w:rPr>
      </w:pPr>
      <w:r>
        <w:rPr>
          <w:rFonts w:ascii="Arial" w:hAnsi="Arial" w:cs="Arial"/>
          <w:sz w:val="20"/>
        </w:rPr>
        <w:t>S</w:t>
      </w:r>
      <w:r w:rsidRPr="009E5BDB">
        <w:rPr>
          <w:rFonts w:ascii="Arial" w:hAnsi="Arial" w:cs="Arial"/>
          <w:sz w:val="20"/>
        </w:rPr>
        <w:t xml:space="preserve">alary loadings for </w:t>
      </w:r>
      <w:r w:rsidR="004602D3">
        <w:rPr>
          <w:rFonts w:ascii="Arial" w:hAnsi="Arial" w:cs="Arial"/>
          <w:sz w:val="20"/>
        </w:rPr>
        <w:t>Members</w:t>
      </w:r>
      <w:r w:rsidR="00B25BA1">
        <w:rPr>
          <w:rFonts w:ascii="Arial" w:hAnsi="Arial" w:cs="Arial"/>
          <w:sz w:val="20"/>
        </w:rPr>
        <w:t xml:space="preserve">, </w:t>
      </w:r>
      <w:r w:rsidRPr="009E5BDB">
        <w:rPr>
          <w:rFonts w:ascii="Arial" w:hAnsi="Arial" w:cs="Arial"/>
          <w:sz w:val="20"/>
        </w:rPr>
        <w:t>including performance-based bonuses</w:t>
      </w:r>
      <w:r w:rsidR="00D10DC1">
        <w:rPr>
          <w:rFonts w:ascii="Arial" w:hAnsi="Arial" w:cs="Arial"/>
          <w:sz w:val="20"/>
        </w:rPr>
        <w:t xml:space="preserve"> </w:t>
      </w:r>
      <w:r w:rsidR="00B25BA1">
        <w:rPr>
          <w:rFonts w:ascii="Arial" w:hAnsi="Arial" w:cs="Arial"/>
          <w:sz w:val="20"/>
        </w:rPr>
        <w:t>(</w:t>
      </w:r>
      <w:proofErr w:type="gramStart"/>
      <w:r w:rsidR="00D10DC1">
        <w:rPr>
          <w:rFonts w:ascii="Arial" w:hAnsi="Arial" w:cs="Arial"/>
          <w:sz w:val="20"/>
        </w:rPr>
        <w:t>with the exception of</w:t>
      </w:r>
      <w:proofErr w:type="gramEnd"/>
      <w:r w:rsidR="00D10DC1">
        <w:rPr>
          <w:rFonts w:ascii="Arial" w:hAnsi="Arial" w:cs="Arial"/>
          <w:sz w:val="20"/>
        </w:rPr>
        <w:t xml:space="preserve"> Director’s 10% leadership loading</w:t>
      </w:r>
      <w:r w:rsidR="00B25BA1">
        <w:rPr>
          <w:rFonts w:ascii="Arial" w:hAnsi="Arial" w:cs="Arial"/>
          <w:sz w:val="20"/>
        </w:rPr>
        <w:t xml:space="preserve">). </w:t>
      </w:r>
    </w:p>
    <w:p w14:paraId="62E4CFDB" w14:textId="523E214E" w:rsidR="0067429D" w:rsidRPr="009E5BDB" w:rsidRDefault="0067429D" w:rsidP="008E3871">
      <w:pPr>
        <w:pStyle w:val="ListParagraph"/>
        <w:numPr>
          <w:ilvl w:val="0"/>
          <w:numId w:val="19"/>
        </w:numPr>
        <w:rPr>
          <w:rFonts w:ascii="Arial" w:hAnsi="Arial" w:cs="Arial"/>
          <w:sz w:val="20"/>
        </w:rPr>
      </w:pPr>
      <w:r>
        <w:rPr>
          <w:rFonts w:ascii="Arial" w:hAnsi="Arial" w:cs="Arial"/>
          <w:sz w:val="20"/>
        </w:rPr>
        <w:t>T</w:t>
      </w:r>
      <w:r w:rsidRPr="009E5BDB">
        <w:rPr>
          <w:rFonts w:ascii="Arial" w:hAnsi="Arial" w:cs="Arial"/>
          <w:sz w:val="20"/>
        </w:rPr>
        <w:t>eaching related activities</w:t>
      </w:r>
      <w:r w:rsidR="001348CE">
        <w:rPr>
          <w:rFonts w:ascii="Arial" w:hAnsi="Arial" w:cs="Arial"/>
          <w:sz w:val="20"/>
        </w:rPr>
        <w:t xml:space="preserve"> including teaching buy-out/marking</w:t>
      </w:r>
      <w:r w:rsidRPr="009E5BDB">
        <w:rPr>
          <w:rFonts w:ascii="Arial" w:hAnsi="Arial" w:cs="Arial"/>
          <w:sz w:val="20"/>
        </w:rPr>
        <w:t xml:space="preserve"> (HDR supervision is not included here)</w:t>
      </w:r>
    </w:p>
    <w:p w14:paraId="095B3BDC" w14:textId="5E31332A" w:rsidR="008E3871" w:rsidRPr="00916CEE" w:rsidRDefault="0067429D" w:rsidP="008E3871">
      <w:pPr>
        <w:pStyle w:val="ListParagraph"/>
        <w:numPr>
          <w:ilvl w:val="0"/>
          <w:numId w:val="19"/>
        </w:numPr>
        <w:rPr>
          <w:rFonts w:ascii="Arial" w:hAnsi="Arial" w:cs="Arial"/>
          <w:sz w:val="20"/>
        </w:rPr>
      </w:pPr>
      <w:r>
        <w:rPr>
          <w:rFonts w:ascii="Arial" w:hAnsi="Arial" w:cs="Arial"/>
          <w:sz w:val="20"/>
        </w:rPr>
        <w:t>T</w:t>
      </w:r>
      <w:r w:rsidRPr="009E5BDB">
        <w:rPr>
          <w:rFonts w:ascii="Arial" w:hAnsi="Arial" w:cs="Arial"/>
          <w:sz w:val="20"/>
        </w:rPr>
        <w:t>he construction of new buildings</w:t>
      </w:r>
      <w:r w:rsidR="00F77398">
        <w:rPr>
          <w:rFonts w:ascii="Arial" w:hAnsi="Arial" w:cs="Arial"/>
          <w:sz w:val="20"/>
        </w:rPr>
        <w:t xml:space="preserve"> or other major capital works</w:t>
      </w:r>
    </w:p>
    <w:p w14:paraId="392231B4" w14:textId="39B61CEA" w:rsidR="00A1349D" w:rsidRPr="00A1349D" w:rsidRDefault="00A1349D" w:rsidP="00A1349D">
      <w:pPr>
        <w:keepNext/>
        <w:keepLines/>
        <w:spacing w:before="40" w:after="0"/>
        <w:outlineLvl w:val="1"/>
        <w:rPr>
          <w:rFonts w:ascii="Arial" w:eastAsiaTheme="majorEastAsia" w:hAnsi="Arial" w:cs="Arial"/>
          <w:color w:val="2E74B5" w:themeColor="accent1" w:themeShade="BF"/>
          <w:sz w:val="24"/>
          <w:szCs w:val="26"/>
        </w:rPr>
      </w:pPr>
      <w:r>
        <w:rPr>
          <w:rFonts w:ascii="Arial" w:eastAsiaTheme="majorEastAsia" w:hAnsi="Arial" w:cs="Arial"/>
          <w:color w:val="2E74B5" w:themeColor="accent1" w:themeShade="BF"/>
          <w:sz w:val="24"/>
          <w:szCs w:val="26"/>
        </w:rPr>
        <w:t>Expected contributions from Schools</w:t>
      </w:r>
      <w:r w:rsidRPr="00A1349D">
        <w:rPr>
          <w:rFonts w:ascii="Arial" w:eastAsiaTheme="majorEastAsia" w:hAnsi="Arial" w:cs="Arial"/>
          <w:color w:val="2E74B5" w:themeColor="accent1" w:themeShade="BF"/>
          <w:sz w:val="24"/>
          <w:szCs w:val="26"/>
        </w:rPr>
        <w:t>:</w:t>
      </w:r>
    </w:p>
    <w:p w14:paraId="001D888C" w14:textId="1E5E0136" w:rsidR="00F62B37" w:rsidRDefault="00CC1F6A" w:rsidP="004608C2">
      <w:pPr>
        <w:contextualSpacing/>
        <w:rPr>
          <w:rFonts w:ascii="Arial" w:hAnsi="Arial" w:cs="Arial"/>
          <w:sz w:val="20"/>
          <w:szCs w:val="20"/>
        </w:rPr>
      </w:pPr>
      <w:r w:rsidRPr="19BBB3FD">
        <w:rPr>
          <w:rFonts w:ascii="Arial" w:hAnsi="Arial" w:cs="Arial"/>
          <w:sz w:val="20"/>
          <w:szCs w:val="20"/>
        </w:rPr>
        <w:t xml:space="preserve">Schools </w:t>
      </w:r>
      <w:r w:rsidR="000A43C7" w:rsidRPr="19BBB3FD">
        <w:rPr>
          <w:rFonts w:ascii="Arial" w:hAnsi="Arial" w:cs="Arial"/>
          <w:sz w:val="20"/>
          <w:szCs w:val="20"/>
        </w:rPr>
        <w:t xml:space="preserve">will </w:t>
      </w:r>
      <w:r w:rsidRPr="19BBB3FD">
        <w:rPr>
          <w:rFonts w:ascii="Arial" w:hAnsi="Arial" w:cs="Arial"/>
          <w:sz w:val="20"/>
          <w:szCs w:val="20"/>
        </w:rPr>
        <w:t xml:space="preserve">indicate any cash and in-kind contributions they will provide to support the activities of their researchers associated with entities. </w:t>
      </w:r>
      <w:r w:rsidR="00F62B37" w:rsidRPr="19BBB3FD">
        <w:rPr>
          <w:rFonts w:ascii="Arial" w:hAnsi="Arial" w:cs="Arial"/>
          <w:sz w:val="20"/>
          <w:szCs w:val="20"/>
        </w:rPr>
        <w:t>Schools are expected to pay</w:t>
      </w:r>
      <w:r w:rsidR="008743E2" w:rsidRPr="19BBB3FD">
        <w:rPr>
          <w:rFonts w:ascii="Arial" w:hAnsi="Arial" w:cs="Arial"/>
          <w:sz w:val="20"/>
          <w:szCs w:val="20"/>
        </w:rPr>
        <w:t>:</w:t>
      </w:r>
    </w:p>
    <w:p w14:paraId="543F546F" w14:textId="453716FF" w:rsidR="005C0BC4" w:rsidRPr="005C0BC4" w:rsidRDefault="008743E2" w:rsidP="00D82339">
      <w:pPr>
        <w:pStyle w:val="ListParagraph"/>
        <w:numPr>
          <w:ilvl w:val="0"/>
          <w:numId w:val="26"/>
        </w:numPr>
        <w:rPr>
          <w:rFonts w:ascii="Arial" w:hAnsi="Arial" w:cs="Arial"/>
          <w:sz w:val="20"/>
        </w:rPr>
      </w:pPr>
      <w:r w:rsidRPr="19BBB3FD">
        <w:rPr>
          <w:rFonts w:ascii="Arial" w:hAnsi="Arial" w:cs="Arial"/>
          <w:sz w:val="20"/>
          <w:szCs w:val="20"/>
        </w:rPr>
        <w:t xml:space="preserve">Staff salaries of ongoing substantive </w:t>
      </w:r>
      <w:r w:rsidR="00185970">
        <w:rPr>
          <w:rFonts w:ascii="Arial" w:hAnsi="Arial" w:cs="Arial"/>
          <w:sz w:val="20"/>
          <w:szCs w:val="20"/>
        </w:rPr>
        <w:t>m</w:t>
      </w:r>
      <w:r w:rsidR="00982938" w:rsidRPr="19BBB3FD">
        <w:rPr>
          <w:rFonts w:ascii="Arial" w:hAnsi="Arial" w:cs="Arial"/>
          <w:sz w:val="20"/>
          <w:szCs w:val="20"/>
        </w:rPr>
        <w:t>embers of the</w:t>
      </w:r>
      <w:r w:rsidRPr="19BBB3FD">
        <w:rPr>
          <w:rFonts w:ascii="Arial" w:hAnsi="Arial" w:cs="Arial"/>
          <w:sz w:val="20"/>
          <w:szCs w:val="20"/>
        </w:rPr>
        <w:t xml:space="preserve"> ECU</w:t>
      </w:r>
      <w:r w:rsidR="70415BB2" w:rsidRPr="19BBB3FD">
        <w:rPr>
          <w:rFonts w:ascii="Arial" w:hAnsi="Arial" w:cs="Arial"/>
          <w:sz w:val="20"/>
          <w:szCs w:val="20"/>
        </w:rPr>
        <w:t xml:space="preserve"> Strategic Research </w:t>
      </w:r>
      <w:r w:rsidR="005C0BC4">
        <w:rPr>
          <w:rFonts w:ascii="Arial" w:hAnsi="Arial" w:cs="Arial"/>
          <w:sz w:val="20"/>
          <w:szCs w:val="20"/>
        </w:rPr>
        <w:t>Institute and Centre</w:t>
      </w:r>
    </w:p>
    <w:p w14:paraId="69ABE07E" w14:textId="585F1F44" w:rsidR="002B0727" w:rsidRPr="00D82339" w:rsidRDefault="007456C5" w:rsidP="00D82339">
      <w:pPr>
        <w:pStyle w:val="ListParagraph"/>
        <w:numPr>
          <w:ilvl w:val="0"/>
          <w:numId w:val="26"/>
        </w:numPr>
        <w:rPr>
          <w:rFonts w:ascii="Arial" w:hAnsi="Arial" w:cs="Arial"/>
          <w:sz w:val="20"/>
        </w:rPr>
      </w:pPr>
      <w:r>
        <w:rPr>
          <w:rFonts w:ascii="Arial" w:hAnsi="Arial" w:cs="Arial"/>
          <w:sz w:val="20"/>
        </w:rPr>
        <w:t>Facilities, laboratory space, studio space and equipment</w:t>
      </w:r>
    </w:p>
    <w:p w14:paraId="622C153D" w14:textId="1E1A8EDB" w:rsidR="00F96EE8" w:rsidRDefault="00F96EE8" w:rsidP="008743E2">
      <w:pPr>
        <w:pStyle w:val="ListParagraph"/>
        <w:numPr>
          <w:ilvl w:val="0"/>
          <w:numId w:val="26"/>
        </w:numPr>
        <w:rPr>
          <w:rFonts w:ascii="Arial" w:hAnsi="Arial" w:cs="Arial"/>
          <w:sz w:val="20"/>
        </w:rPr>
      </w:pPr>
      <w:r>
        <w:rPr>
          <w:rFonts w:ascii="Arial" w:hAnsi="Arial" w:cs="Arial"/>
          <w:sz w:val="20"/>
        </w:rPr>
        <w:t>Administrative support (from School administrative staff)</w:t>
      </w:r>
    </w:p>
    <w:p w14:paraId="709E0237" w14:textId="64AAF7A7" w:rsidR="00D82339" w:rsidRDefault="00D82339" w:rsidP="008743E2">
      <w:pPr>
        <w:pStyle w:val="ListParagraph"/>
        <w:numPr>
          <w:ilvl w:val="0"/>
          <w:numId w:val="26"/>
        </w:numPr>
        <w:rPr>
          <w:rFonts w:ascii="Arial" w:hAnsi="Arial" w:cs="Arial"/>
          <w:sz w:val="20"/>
        </w:rPr>
      </w:pPr>
      <w:r>
        <w:rPr>
          <w:rFonts w:ascii="Arial" w:hAnsi="Arial" w:cs="Arial"/>
          <w:sz w:val="20"/>
        </w:rPr>
        <w:t>Cash contributions to the conduct of research</w:t>
      </w:r>
      <w:r w:rsidR="00185970">
        <w:rPr>
          <w:rFonts w:ascii="Arial" w:hAnsi="Arial" w:cs="Arial"/>
          <w:sz w:val="20"/>
        </w:rPr>
        <w:t>, as appropr</w:t>
      </w:r>
      <w:r w:rsidR="002F132C">
        <w:rPr>
          <w:rFonts w:ascii="Arial" w:hAnsi="Arial" w:cs="Arial"/>
          <w:sz w:val="20"/>
        </w:rPr>
        <w:t>iate, including co-investment in future grants</w:t>
      </w:r>
      <w:r w:rsidR="00EF0BBC">
        <w:rPr>
          <w:rFonts w:ascii="Arial" w:hAnsi="Arial" w:cs="Arial"/>
          <w:sz w:val="20"/>
        </w:rPr>
        <w:t xml:space="preserve"> as appropriate. </w:t>
      </w:r>
    </w:p>
    <w:p w14:paraId="5D0733D7" w14:textId="784914EC" w:rsidR="006B260F" w:rsidRDefault="006B260F" w:rsidP="006B260F">
      <w:pPr>
        <w:contextualSpacing/>
        <w:rPr>
          <w:rFonts w:ascii="Arial" w:hAnsi="Arial" w:cs="Arial"/>
          <w:sz w:val="20"/>
          <w:szCs w:val="20"/>
        </w:rPr>
      </w:pPr>
      <w:r w:rsidRPr="4B2E5ABA">
        <w:rPr>
          <w:rFonts w:ascii="Arial" w:hAnsi="Arial" w:cs="Arial"/>
          <w:sz w:val="20"/>
          <w:szCs w:val="20"/>
        </w:rPr>
        <w:t xml:space="preserve">Schools are particularly expected to provide support for HDR students linked to ECU Strategic Research Institutes and Centres as set out in the </w:t>
      </w:r>
      <w:r w:rsidRPr="19BBB3FD">
        <w:rPr>
          <w:rFonts w:ascii="Arial" w:hAnsi="Arial" w:cs="Arial"/>
          <w:sz w:val="20"/>
          <w:szCs w:val="20"/>
        </w:rPr>
        <w:t>ECU</w:t>
      </w:r>
      <w:r w:rsidR="1C36AFDA" w:rsidRPr="19BBB3FD">
        <w:rPr>
          <w:rFonts w:ascii="Arial" w:hAnsi="Arial" w:cs="Arial"/>
          <w:sz w:val="20"/>
          <w:szCs w:val="20"/>
        </w:rPr>
        <w:t xml:space="preserve"> </w:t>
      </w:r>
      <w:r w:rsidRPr="19BBB3FD">
        <w:rPr>
          <w:rFonts w:ascii="Arial" w:hAnsi="Arial" w:cs="Arial"/>
          <w:sz w:val="20"/>
          <w:szCs w:val="20"/>
        </w:rPr>
        <w:t>S</w:t>
      </w:r>
      <w:r w:rsidR="587842D6" w:rsidRPr="19BBB3FD">
        <w:rPr>
          <w:rFonts w:ascii="Arial" w:hAnsi="Arial" w:cs="Arial"/>
          <w:sz w:val="20"/>
          <w:szCs w:val="20"/>
        </w:rPr>
        <w:t>trategic Research Institu</w:t>
      </w:r>
      <w:r w:rsidR="006474D6">
        <w:rPr>
          <w:rFonts w:ascii="Arial" w:hAnsi="Arial" w:cs="Arial"/>
          <w:sz w:val="20"/>
          <w:szCs w:val="20"/>
        </w:rPr>
        <w:t>t</w:t>
      </w:r>
      <w:r w:rsidR="587842D6" w:rsidRPr="19BBB3FD">
        <w:rPr>
          <w:rFonts w:ascii="Arial" w:hAnsi="Arial" w:cs="Arial"/>
          <w:sz w:val="20"/>
          <w:szCs w:val="20"/>
        </w:rPr>
        <w:t xml:space="preserve">e and </w:t>
      </w:r>
      <w:proofErr w:type="gramStart"/>
      <w:r w:rsidR="587842D6" w:rsidRPr="19BBB3FD">
        <w:rPr>
          <w:rFonts w:ascii="Arial" w:hAnsi="Arial" w:cs="Arial"/>
          <w:sz w:val="20"/>
          <w:szCs w:val="20"/>
        </w:rPr>
        <w:t xml:space="preserve">Centre </w:t>
      </w:r>
      <w:r w:rsidRPr="19BBB3FD">
        <w:rPr>
          <w:rFonts w:ascii="Arial" w:hAnsi="Arial" w:cs="Arial"/>
          <w:sz w:val="20"/>
          <w:szCs w:val="20"/>
        </w:rPr>
        <w:t xml:space="preserve"> Procedures</w:t>
      </w:r>
      <w:proofErr w:type="gramEnd"/>
      <w:r w:rsidRPr="19BBB3FD">
        <w:rPr>
          <w:rFonts w:ascii="Arial" w:hAnsi="Arial" w:cs="Arial"/>
          <w:sz w:val="20"/>
          <w:szCs w:val="20"/>
        </w:rPr>
        <w:t>.</w:t>
      </w:r>
      <w:r w:rsidRPr="4B2E5ABA">
        <w:rPr>
          <w:rFonts w:ascii="Arial" w:hAnsi="Arial" w:cs="Arial"/>
          <w:sz w:val="20"/>
          <w:szCs w:val="20"/>
        </w:rPr>
        <w:t xml:space="preserve"> HDR student</w:t>
      </w:r>
      <w:r>
        <w:rPr>
          <w:rFonts w:ascii="Arial" w:hAnsi="Arial" w:cs="Arial"/>
          <w:sz w:val="20"/>
          <w:szCs w:val="20"/>
        </w:rPr>
        <w:t>s</w:t>
      </w:r>
      <w:r w:rsidRPr="4B2E5ABA">
        <w:rPr>
          <w:rFonts w:ascii="Arial" w:hAnsi="Arial" w:cs="Arial"/>
          <w:sz w:val="20"/>
          <w:szCs w:val="20"/>
        </w:rPr>
        <w:t xml:space="preserve"> will normally be enrolled through the </w:t>
      </w:r>
      <w:proofErr w:type="gramStart"/>
      <w:r w:rsidRPr="4B2E5ABA">
        <w:rPr>
          <w:rFonts w:ascii="Arial" w:hAnsi="Arial" w:cs="Arial"/>
          <w:sz w:val="20"/>
          <w:szCs w:val="20"/>
        </w:rPr>
        <w:t>School</w:t>
      </w:r>
      <w:proofErr w:type="gramEnd"/>
      <w:r w:rsidRPr="4B2E5ABA">
        <w:rPr>
          <w:rFonts w:ascii="Arial" w:hAnsi="Arial" w:cs="Arial"/>
          <w:sz w:val="20"/>
          <w:szCs w:val="20"/>
        </w:rPr>
        <w:t xml:space="preserve"> of employment of their Principal Supervisor. As such, the </w:t>
      </w:r>
      <w:proofErr w:type="gramStart"/>
      <w:r w:rsidRPr="4B2E5ABA">
        <w:rPr>
          <w:rFonts w:ascii="Arial" w:hAnsi="Arial" w:cs="Arial"/>
          <w:sz w:val="20"/>
          <w:szCs w:val="20"/>
        </w:rPr>
        <w:t>School</w:t>
      </w:r>
      <w:proofErr w:type="gramEnd"/>
      <w:r w:rsidRPr="4B2E5ABA">
        <w:rPr>
          <w:rFonts w:ascii="Arial" w:hAnsi="Arial" w:cs="Arial"/>
          <w:sz w:val="20"/>
          <w:szCs w:val="20"/>
        </w:rPr>
        <w:t xml:space="preserve"> is expected to support:</w:t>
      </w:r>
    </w:p>
    <w:p w14:paraId="785C9951" w14:textId="77777777" w:rsidR="006B260F" w:rsidRDefault="006B260F" w:rsidP="006B260F">
      <w:pPr>
        <w:numPr>
          <w:ilvl w:val="0"/>
          <w:numId w:val="19"/>
        </w:numPr>
        <w:contextualSpacing/>
        <w:rPr>
          <w:rFonts w:ascii="Arial" w:hAnsi="Arial" w:cs="Arial"/>
          <w:sz w:val="20"/>
        </w:rPr>
      </w:pPr>
      <w:r>
        <w:rPr>
          <w:rFonts w:ascii="Arial" w:hAnsi="Arial" w:cs="Arial"/>
          <w:sz w:val="20"/>
        </w:rPr>
        <w:t>HDR training costs</w:t>
      </w:r>
    </w:p>
    <w:p w14:paraId="1372ACF1" w14:textId="77777777" w:rsidR="006B260F" w:rsidRDefault="006B260F" w:rsidP="006B260F">
      <w:pPr>
        <w:numPr>
          <w:ilvl w:val="0"/>
          <w:numId w:val="19"/>
        </w:numPr>
        <w:contextualSpacing/>
        <w:rPr>
          <w:rFonts w:ascii="Arial" w:hAnsi="Arial" w:cs="Arial"/>
          <w:sz w:val="20"/>
        </w:rPr>
      </w:pPr>
      <w:r>
        <w:rPr>
          <w:rFonts w:ascii="Arial" w:hAnsi="Arial" w:cs="Arial"/>
          <w:sz w:val="20"/>
        </w:rPr>
        <w:t>Facilities, laboratory space, studio space and equipment</w:t>
      </w:r>
    </w:p>
    <w:p w14:paraId="31615E69" w14:textId="77777777" w:rsidR="006B260F" w:rsidRDefault="006B260F" w:rsidP="006B260F">
      <w:pPr>
        <w:numPr>
          <w:ilvl w:val="0"/>
          <w:numId w:val="19"/>
        </w:numPr>
        <w:contextualSpacing/>
        <w:rPr>
          <w:rFonts w:ascii="Arial" w:hAnsi="Arial" w:cs="Arial"/>
          <w:sz w:val="20"/>
        </w:rPr>
      </w:pPr>
      <w:r>
        <w:rPr>
          <w:rFonts w:ascii="Arial" w:hAnsi="Arial" w:cs="Arial"/>
          <w:sz w:val="20"/>
        </w:rPr>
        <w:t>Research administration and support</w:t>
      </w:r>
    </w:p>
    <w:p w14:paraId="7F6FB935" w14:textId="77777777" w:rsidR="006B260F" w:rsidRDefault="006B260F" w:rsidP="006B260F">
      <w:pPr>
        <w:numPr>
          <w:ilvl w:val="0"/>
          <w:numId w:val="19"/>
        </w:numPr>
        <w:contextualSpacing/>
        <w:rPr>
          <w:rFonts w:ascii="Arial" w:hAnsi="Arial" w:cs="Arial"/>
          <w:sz w:val="20"/>
        </w:rPr>
      </w:pPr>
      <w:r>
        <w:rPr>
          <w:rFonts w:ascii="Arial" w:hAnsi="Arial" w:cs="Arial"/>
          <w:sz w:val="20"/>
        </w:rPr>
        <w:t>Access to school-based research support structures</w:t>
      </w:r>
    </w:p>
    <w:p w14:paraId="7C212900" w14:textId="77777777" w:rsidR="006B260F" w:rsidRDefault="006B260F" w:rsidP="006B260F">
      <w:pPr>
        <w:numPr>
          <w:ilvl w:val="0"/>
          <w:numId w:val="19"/>
        </w:numPr>
        <w:contextualSpacing/>
        <w:rPr>
          <w:rFonts w:ascii="Arial" w:hAnsi="Arial" w:cs="Arial"/>
          <w:sz w:val="20"/>
        </w:rPr>
      </w:pPr>
      <w:r>
        <w:rPr>
          <w:rFonts w:ascii="Arial" w:hAnsi="Arial" w:cs="Arial"/>
          <w:sz w:val="20"/>
        </w:rPr>
        <w:t>Any cash contributions</w:t>
      </w:r>
    </w:p>
    <w:p w14:paraId="6501C85B" w14:textId="52640557" w:rsidR="002F132C" w:rsidRDefault="002F132C" w:rsidP="006B260F">
      <w:pPr>
        <w:numPr>
          <w:ilvl w:val="0"/>
          <w:numId w:val="19"/>
        </w:numPr>
        <w:contextualSpacing/>
        <w:rPr>
          <w:rFonts w:ascii="Arial" w:hAnsi="Arial" w:cs="Arial"/>
          <w:sz w:val="20"/>
        </w:rPr>
      </w:pPr>
      <w:r>
        <w:rPr>
          <w:rFonts w:ascii="Arial" w:hAnsi="Arial" w:cs="Arial"/>
          <w:sz w:val="20"/>
        </w:rPr>
        <w:t xml:space="preserve">International insurance </w:t>
      </w:r>
    </w:p>
    <w:p w14:paraId="2B2B193B" w14:textId="2E32147F" w:rsidR="005666B4" w:rsidRPr="00270B25" w:rsidRDefault="006B260F" w:rsidP="00AD2C48">
      <w:pPr>
        <w:numPr>
          <w:ilvl w:val="0"/>
          <w:numId w:val="19"/>
        </w:numPr>
        <w:contextualSpacing/>
        <w:rPr>
          <w:rFonts w:ascii="Arial" w:hAnsi="Arial" w:cs="Arial"/>
          <w:sz w:val="20"/>
        </w:rPr>
      </w:pPr>
      <w:r>
        <w:rPr>
          <w:rFonts w:ascii="Arial" w:hAnsi="Arial" w:cs="Arial"/>
          <w:sz w:val="20"/>
        </w:rPr>
        <w:t>Any other expenditure required in the during of the HDR program to facilitate completion</w:t>
      </w:r>
      <w:r w:rsidR="001A5652">
        <w:rPr>
          <w:rFonts w:ascii="Arial" w:hAnsi="Arial" w:cs="Arial"/>
          <w:sz w:val="20"/>
        </w:rPr>
        <w:t xml:space="preserve">. </w:t>
      </w:r>
    </w:p>
    <w:p w14:paraId="05D550C3" w14:textId="77777777" w:rsidR="005666B4" w:rsidRDefault="005666B4" w:rsidP="00AD2C48">
      <w:pPr>
        <w:contextualSpacing/>
        <w:rPr>
          <w:rFonts w:ascii="Arial" w:hAnsi="Arial" w:cs="Arial"/>
          <w:sz w:val="20"/>
        </w:rPr>
      </w:pPr>
    </w:p>
    <w:p w14:paraId="32FF065B" w14:textId="77777777" w:rsidR="00642765" w:rsidRPr="00642765" w:rsidRDefault="00642765" w:rsidP="00642765">
      <w:pPr>
        <w:keepNext/>
        <w:keepLines/>
        <w:spacing w:before="40" w:after="0"/>
        <w:outlineLvl w:val="1"/>
        <w:rPr>
          <w:rFonts w:ascii="Arial" w:eastAsiaTheme="majorEastAsia" w:hAnsi="Arial" w:cs="Arial"/>
          <w:color w:val="2E74B5" w:themeColor="accent1" w:themeShade="BF"/>
          <w:sz w:val="24"/>
          <w:szCs w:val="26"/>
        </w:rPr>
      </w:pPr>
      <w:r w:rsidRPr="00642765">
        <w:rPr>
          <w:rFonts w:ascii="Arial" w:eastAsiaTheme="majorEastAsia" w:hAnsi="Arial" w:cs="Arial"/>
          <w:color w:val="2E74B5" w:themeColor="accent1" w:themeShade="BF"/>
          <w:sz w:val="24"/>
          <w:szCs w:val="26"/>
        </w:rPr>
        <w:t>CONTACT INFORMATION</w:t>
      </w:r>
    </w:p>
    <w:p w14:paraId="2D281381" w14:textId="77777777" w:rsidR="00642765" w:rsidRPr="00DB1B3B" w:rsidRDefault="00642765" w:rsidP="00642765">
      <w:pPr>
        <w:jc w:val="both"/>
        <w:rPr>
          <w:rFonts w:ascii="Arial" w:hAnsi="Arial" w:cs="Arial"/>
          <w:sz w:val="20"/>
          <w:szCs w:val="20"/>
        </w:rPr>
      </w:pPr>
      <w:r w:rsidRPr="00DB1B3B">
        <w:rPr>
          <w:rFonts w:ascii="Arial" w:hAnsi="Arial" w:cs="Arial"/>
          <w:sz w:val="20"/>
          <w:szCs w:val="20"/>
        </w:rPr>
        <w:t>For queries relating to this document please contact:</w:t>
      </w:r>
    </w:p>
    <w:tbl>
      <w:tblPr>
        <w:tblW w:w="9497" w:type="dxa"/>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163"/>
        <w:gridCol w:w="6334"/>
      </w:tblGrid>
      <w:tr w:rsidR="00642765" w:rsidRPr="00DB1B3B" w14:paraId="6DC3BA24" w14:textId="77777777" w:rsidTr="00642765">
        <w:trPr>
          <w:tblCellSpacing w:w="20" w:type="dxa"/>
        </w:trPr>
        <w:tc>
          <w:tcPr>
            <w:tcW w:w="3103" w:type="dxa"/>
          </w:tcPr>
          <w:p w14:paraId="7366F4DB" w14:textId="7754E5A7" w:rsidR="00642765" w:rsidRPr="00DB1B3B" w:rsidRDefault="00642765" w:rsidP="0098362C">
            <w:pPr>
              <w:jc w:val="both"/>
              <w:rPr>
                <w:rFonts w:ascii="Arial" w:hAnsi="Arial" w:cs="Arial"/>
                <w:sz w:val="20"/>
                <w:szCs w:val="20"/>
              </w:rPr>
            </w:pPr>
            <w:r w:rsidRPr="00DB1B3B">
              <w:rPr>
                <w:rFonts w:ascii="Arial" w:hAnsi="Arial" w:cs="Arial"/>
                <w:sz w:val="20"/>
                <w:szCs w:val="20"/>
              </w:rPr>
              <w:t>Owner</w:t>
            </w:r>
          </w:p>
        </w:tc>
        <w:tc>
          <w:tcPr>
            <w:tcW w:w="6274" w:type="dxa"/>
          </w:tcPr>
          <w:p w14:paraId="4FCC5AC9" w14:textId="76CD9620" w:rsidR="00642765" w:rsidRPr="00DB1B3B" w:rsidRDefault="00642765" w:rsidP="0098362C">
            <w:pPr>
              <w:jc w:val="both"/>
              <w:rPr>
                <w:rFonts w:ascii="Arial" w:hAnsi="Arial" w:cs="Arial"/>
                <w:sz w:val="20"/>
                <w:szCs w:val="20"/>
              </w:rPr>
            </w:pPr>
            <w:r>
              <w:rPr>
                <w:rFonts w:ascii="Arial" w:hAnsi="Arial" w:cs="Arial"/>
                <w:sz w:val="20"/>
                <w:szCs w:val="20"/>
              </w:rPr>
              <w:t xml:space="preserve">Deputy Vice-Chancellor </w:t>
            </w:r>
            <w:r w:rsidR="00B66521">
              <w:rPr>
                <w:rFonts w:ascii="Arial" w:hAnsi="Arial" w:cs="Arial"/>
                <w:sz w:val="20"/>
                <w:szCs w:val="20"/>
              </w:rPr>
              <w:t>(</w:t>
            </w:r>
            <w:r>
              <w:rPr>
                <w:rFonts w:ascii="Arial" w:hAnsi="Arial" w:cs="Arial"/>
                <w:sz w:val="20"/>
                <w:szCs w:val="20"/>
              </w:rPr>
              <w:t>Research</w:t>
            </w:r>
            <w:r w:rsidR="0001683F">
              <w:rPr>
                <w:rFonts w:ascii="Arial" w:hAnsi="Arial" w:cs="Arial"/>
                <w:sz w:val="20"/>
                <w:szCs w:val="20"/>
              </w:rPr>
              <w:t>)</w:t>
            </w:r>
          </w:p>
        </w:tc>
      </w:tr>
      <w:tr w:rsidR="00642765" w:rsidRPr="00DB1B3B" w14:paraId="1CA51B01" w14:textId="77777777" w:rsidTr="00642765">
        <w:trPr>
          <w:tblCellSpacing w:w="20" w:type="dxa"/>
        </w:trPr>
        <w:tc>
          <w:tcPr>
            <w:tcW w:w="3103" w:type="dxa"/>
          </w:tcPr>
          <w:p w14:paraId="08C8F137" w14:textId="77777777" w:rsidR="00642765" w:rsidRPr="00DB1B3B" w:rsidRDefault="00642765" w:rsidP="0098362C">
            <w:pPr>
              <w:jc w:val="both"/>
              <w:rPr>
                <w:rFonts w:ascii="Arial" w:hAnsi="Arial" w:cs="Arial"/>
                <w:sz w:val="20"/>
                <w:szCs w:val="20"/>
              </w:rPr>
            </w:pPr>
            <w:r w:rsidRPr="00DB1B3B">
              <w:rPr>
                <w:rFonts w:ascii="Arial" w:hAnsi="Arial" w:cs="Arial"/>
                <w:sz w:val="20"/>
                <w:szCs w:val="20"/>
              </w:rPr>
              <w:t>All Enquiries Contact:</w:t>
            </w:r>
          </w:p>
        </w:tc>
        <w:tc>
          <w:tcPr>
            <w:tcW w:w="6274" w:type="dxa"/>
          </w:tcPr>
          <w:p w14:paraId="1FDA8175" w14:textId="710F1CCA" w:rsidR="000D126D" w:rsidRPr="00DB1B3B" w:rsidRDefault="00156269" w:rsidP="000D126D">
            <w:pPr>
              <w:jc w:val="both"/>
              <w:rPr>
                <w:rFonts w:ascii="Arial" w:hAnsi="Arial" w:cs="Arial"/>
                <w:sz w:val="20"/>
                <w:szCs w:val="20"/>
              </w:rPr>
            </w:pPr>
            <w:r>
              <w:rPr>
                <w:rFonts w:ascii="Arial" w:hAnsi="Arial" w:cs="Arial"/>
                <w:sz w:val="20"/>
                <w:szCs w:val="20"/>
              </w:rPr>
              <w:t>Claire Corbould, Manager, Research Strategy and Poli</w:t>
            </w:r>
            <w:r w:rsidR="000D126D">
              <w:rPr>
                <w:rFonts w:ascii="Arial" w:hAnsi="Arial" w:cs="Arial"/>
                <w:sz w:val="20"/>
                <w:szCs w:val="20"/>
              </w:rPr>
              <w:t xml:space="preserve">cy, </w:t>
            </w:r>
            <w:r w:rsidR="00642765">
              <w:rPr>
                <w:rFonts w:ascii="Arial" w:hAnsi="Arial" w:cs="Arial"/>
                <w:sz w:val="20"/>
                <w:szCs w:val="20"/>
              </w:rPr>
              <w:t xml:space="preserve">Office of the Deputy Vice-Chancellor </w:t>
            </w:r>
            <w:r w:rsidR="0001683F">
              <w:rPr>
                <w:rFonts w:ascii="Arial" w:hAnsi="Arial" w:cs="Arial"/>
                <w:sz w:val="20"/>
                <w:szCs w:val="20"/>
              </w:rPr>
              <w:t>(</w:t>
            </w:r>
            <w:r w:rsidR="00642765">
              <w:rPr>
                <w:rFonts w:ascii="Arial" w:hAnsi="Arial" w:cs="Arial"/>
                <w:sz w:val="20"/>
                <w:szCs w:val="20"/>
              </w:rPr>
              <w:t>Research</w:t>
            </w:r>
            <w:r w:rsidR="0001683F">
              <w:rPr>
                <w:rFonts w:ascii="Arial" w:hAnsi="Arial" w:cs="Arial"/>
                <w:sz w:val="20"/>
                <w:szCs w:val="20"/>
              </w:rPr>
              <w:t>)</w:t>
            </w:r>
          </w:p>
        </w:tc>
      </w:tr>
      <w:tr w:rsidR="00642765" w:rsidRPr="00DB1B3B" w14:paraId="14D845FB" w14:textId="77777777" w:rsidTr="00642765">
        <w:trPr>
          <w:tblCellSpacing w:w="20" w:type="dxa"/>
        </w:trPr>
        <w:tc>
          <w:tcPr>
            <w:tcW w:w="3103" w:type="dxa"/>
          </w:tcPr>
          <w:p w14:paraId="0509C35E" w14:textId="77777777" w:rsidR="00642765" w:rsidRPr="00DB1B3B" w:rsidRDefault="00642765" w:rsidP="0098362C">
            <w:pPr>
              <w:jc w:val="both"/>
              <w:rPr>
                <w:rFonts w:ascii="Arial" w:hAnsi="Arial" w:cs="Arial"/>
                <w:sz w:val="20"/>
                <w:szCs w:val="20"/>
              </w:rPr>
            </w:pPr>
            <w:r w:rsidRPr="00DB1B3B">
              <w:rPr>
                <w:rFonts w:ascii="Arial" w:hAnsi="Arial" w:cs="Arial"/>
                <w:sz w:val="20"/>
                <w:szCs w:val="20"/>
              </w:rPr>
              <w:t>Telephone:</w:t>
            </w:r>
          </w:p>
        </w:tc>
        <w:tc>
          <w:tcPr>
            <w:tcW w:w="6274" w:type="dxa"/>
          </w:tcPr>
          <w:p w14:paraId="6298A3FF" w14:textId="06BA15B1" w:rsidR="00642765" w:rsidRPr="0031378A" w:rsidRDefault="00642765" w:rsidP="0098362C">
            <w:pPr>
              <w:jc w:val="both"/>
              <w:rPr>
                <w:rFonts w:ascii="Arial" w:hAnsi="Arial" w:cs="Arial"/>
                <w:sz w:val="20"/>
                <w:szCs w:val="20"/>
              </w:rPr>
            </w:pPr>
            <w:r w:rsidRPr="0031378A">
              <w:rPr>
                <w:rFonts w:ascii="Arial" w:hAnsi="Arial" w:cs="Arial"/>
                <w:sz w:val="20"/>
                <w:szCs w:val="20"/>
              </w:rPr>
              <w:t>08</w:t>
            </w:r>
            <w:r w:rsidR="000D126D">
              <w:rPr>
                <w:rFonts w:ascii="Arial" w:hAnsi="Arial" w:cs="Arial"/>
                <w:sz w:val="20"/>
                <w:szCs w:val="20"/>
              </w:rPr>
              <w:t xml:space="preserve"> 6304 7111</w:t>
            </w:r>
          </w:p>
        </w:tc>
      </w:tr>
      <w:tr w:rsidR="00642765" w:rsidRPr="00DB1B3B" w14:paraId="15D5ACEE" w14:textId="77777777" w:rsidTr="00642765">
        <w:trPr>
          <w:tblCellSpacing w:w="20" w:type="dxa"/>
        </w:trPr>
        <w:tc>
          <w:tcPr>
            <w:tcW w:w="3103" w:type="dxa"/>
          </w:tcPr>
          <w:p w14:paraId="48016794" w14:textId="77777777" w:rsidR="00642765" w:rsidRPr="00DB1B3B" w:rsidRDefault="00642765" w:rsidP="0098362C">
            <w:pPr>
              <w:jc w:val="both"/>
              <w:rPr>
                <w:rFonts w:ascii="Arial" w:hAnsi="Arial" w:cs="Arial"/>
                <w:sz w:val="20"/>
                <w:szCs w:val="20"/>
              </w:rPr>
            </w:pPr>
            <w:r w:rsidRPr="00DB1B3B">
              <w:rPr>
                <w:rFonts w:ascii="Arial" w:hAnsi="Arial" w:cs="Arial"/>
                <w:sz w:val="20"/>
                <w:szCs w:val="20"/>
              </w:rPr>
              <w:t>Email address:</w:t>
            </w:r>
          </w:p>
        </w:tc>
        <w:tc>
          <w:tcPr>
            <w:tcW w:w="6274" w:type="dxa"/>
          </w:tcPr>
          <w:p w14:paraId="78EF77D9" w14:textId="214FB912" w:rsidR="00642765" w:rsidRPr="0031378A" w:rsidRDefault="000D126D" w:rsidP="0098362C">
            <w:pPr>
              <w:jc w:val="both"/>
              <w:rPr>
                <w:rFonts w:ascii="Arial" w:hAnsi="Arial" w:cs="Arial"/>
                <w:sz w:val="20"/>
                <w:szCs w:val="20"/>
              </w:rPr>
            </w:pPr>
            <w:r>
              <w:rPr>
                <w:rFonts w:ascii="Arial" w:hAnsi="Arial" w:cs="Arial"/>
                <w:sz w:val="20"/>
                <w:szCs w:val="20"/>
              </w:rPr>
              <w:t>Claire.corbould</w:t>
            </w:r>
            <w:r w:rsidR="00642765">
              <w:rPr>
                <w:rFonts w:ascii="Arial" w:hAnsi="Arial" w:cs="Arial"/>
                <w:sz w:val="20"/>
                <w:szCs w:val="20"/>
              </w:rPr>
              <w:t>@ecu.edu.au</w:t>
            </w:r>
          </w:p>
        </w:tc>
      </w:tr>
    </w:tbl>
    <w:p w14:paraId="4157EBEB" w14:textId="77777777" w:rsidR="00642765" w:rsidRPr="00DB1B3B" w:rsidRDefault="00642765" w:rsidP="00642765">
      <w:pPr>
        <w:jc w:val="both"/>
        <w:rPr>
          <w:rFonts w:ascii="Arial" w:hAnsi="Arial" w:cs="Arial"/>
          <w:sz w:val="20"/>
          <w:szCs w:val="20"/>
        </w:rPr>
      </w:pPr>
      <w:bookmarkStart w:id="3" w:name="Approvals"/>
      <w:bookmarkEnd w:id="3"/>
    </w:p>
    <w:p w14:paraId="1F57932F" w14:textId="77777777" w:rsidR="00642765" w:rsidRPr="00DB1B3B" w:rsidRDefault="00642765" w:rsidP="00642765">
      <w:pPr>
        <w:jc w:val="both"/>
        <w:rPr>
          <w:rFonts w:ascii="Arial" w:hAnsi="Arial" w:cs="Arial"/>
          <w:sz w:val="20"/>
          <w:szCs w:val="20"/>
        </w:rPr>
      </w:pPr>
    </w:p>
    <w:p w14:paraId="68572C7F" w14:textId="77777777" w:rsidR="00642765" w:rsidRPr="009E5BDB" w:rsidRDefault="00642765" w:rsidP="00AD2C48">
      <w:pPr>
        <w:contextualSpacing/>
        <w:rPr>
          <w:rFonts w:ascii="Arial" w:hAnsi="Arial" w:cs="Arial"/>
          <w:sz w:val="20"/>
        </w:rPr>
      </w:pPr>
    </w:p>
    <w:sectPr w:rsidR="00642765" w:rsidRPr="009E5BDB" w:rsidSect="00B234CA">
      <w:headerReference w:type="default" r:id="rId11"/>
      <w:footerReference w:type="default" r:id="rId12"/>
      <w:headerReference w:type="first" r:id="rId13"/>
      <w:footerReference w:type="first" r:id="rId14"/>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AF98" w14:textId="77777777" w:rsidR="00DC11BD" w:rsidRDefault="00DC11BD" w:rsidP="00D52C02">
      <w:pPr>
        <w:spacing w:after="0" w:line="240" w:lineRule="auto"/>
      </w:pPr>
      <w:r>
        <w:separator/>
      </w:r>
    </w:p>
  </w:endnote>
  <w:endnote w:type="continuationSeparator" w:id="0">
    <w:p w14:paraId="5405F628" w14:textId="77777777" w:rsidR="00DC11BD" w:rsidRDefault="00DC11BD" w:rsidP="00D52C02">
      <w:pPr>
        <w:spacing w:after="0" w:line="240" w:lineRule="auto"/>
      </w:pPr>
      <w:r>
        <w:continuationSeparator/>
      </w:r>
    </w:p>
  </w:endnote>
  <w:endnote w:type="continuationNotice" w:id="1">
    <w:p w14:paraId="25753604" w14:textId="77777777" w:rsidR="00DC11BD" w:rsidRDefault="00DC1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842853839"/>
      <w:docPartObj>
        <w:docPartGallery w:val="Page Numbers (Bottom of Page)"/>
        <w:docPartUnique/>
      </w:docPartObj>
    </w:sdtPr>
    <w:sdtEndPr>
      <w:rPr>
        <w:noProof/>
      </w:rPr>
    </w:sdtEndPr>
    <w:sdtContent>
      <w:p w14:paraId="5A05A525" w14:textId="4374846F" w:rsidR="007A05ED" w:rsidRPr="008D0A6F" w:rsidRDefault="007A05ED">
        <w:pPr>
          <w:pStyle w:val="Footer"/>
          <w:jc w:val="center"/>
          <w:rPr>
            <w:rFonts w:ascii="Arial" w:hAnsi="Arial" w:cs="Arial"/>
            <w:sz w:val="20"/>
          </w:rPr>
        </w:pPr>
        <w:r w:rsidRPr="008D0A6F">
          <w:rPr>
            <w:rFonts w:ascii="Arial" w:hAnsi="Arial" w:cs="Arial"/>
            <w:sz w:val="20"/>
          </w:rPr>
          <w:fldChar w:fldCharType="begin"/>
        </w:r>
        <w:r w:rsidRPr="008D0A6F">
          <w:rPr>
            <w:rFonts w:ascii="Arial" w:hAnsi="Arial" w:cs="Arial"/>
            <w:sz w:val="20"/>
          </w:rPr>
          <w:instrText xml:space="preserve"> PAGE   \* MERGEFORMAT </w:instrText>
        </w:r>
        <w:r w:rsidRPr="008D0A6F">
          <w:rPr>
            <w:rFonts w:ascii="Arial" w:hAnsi="Arial" w:cs="Arial"/>
            <w:sz w:val="20"/>
          </w:rPr>
          <w:fldChar w:fldCharType="separate"/>
        </w:r>
        <w:r w:rsidR="001C6BF7">
          <w:rPr>
            <w:rFonts w:ascii="Arial" w:hAnsi="Arial" w:cs="Arial"/>
            <w:noProof/>
            <w:sz w:val="20"/>
          </w:rPr>
          <w:t>1</w:t>
        </w:r>
        <w:r w:rsidRPr="008D0A6F">
          <w:rPr>
            <w:rFonts w:ascii="Arial" w:hAnsi="Arial" w:cs="Arial"/>
            <w:noProof/>
            <w:sz w:val="20"/>
          </w:rPr>
          <w:fldChar w:fldCharType="end"/>
        </w:r>
      </w:p>
    </w:sdtContent>
  </w:sdt>
  <w:p w14:paraId="2710AF05" w14:textId="3E9E413F" w:rsidR="000A26F9" w:rsidRPr="00C2187F" w:rsidRDefault="009F021D" w:rsidP="000A26F9">
    <w:pPr>
      <w:pStyle w:val="Footer"/>
      <w:jc w:val="right"/>
      <w:rPr>
        <w:rFonts w:ascii="Arial Narrow" w:hAnsi="Arial Narrow" w:cs="Arial"/>
        <w:sz w:val="16"/>
        <w:szCs w:val="16"/>
      </w:rPr>
    </w:pPr>
    <w:r>
      <w:rPr>
        <w:rFonts w:ascii="Arial Narrow" w:hAnsi="Arial Narrow" w:cs="Arial"/>
        <w:sz w:val="16"/>
        <w:szCs w:val="16"/>
      </w:rPr>
      <w:t>Last</w:t>
    </w:r>
    <w:r w:rsidR="001D539A">
      <w:rPr>
        <w:rFonts w:ascii="Arial Narrow" w:hAnsi="Arial Narrow" w:cs="Arial"/>
        <w:sz w:val="16"/>
        <w:szCs w:val="16"/>
      </w:rPr>
      <w:t xml:space="preserve"> modified</w:t>
    </w:r>
    <w:r>
      <w:rPr>
        <w:rFonts w:ascii="Arial Narrow" w:hAnsi="Arial Narrow" w:cs="Arial"/>
        <w:sz w:val="16"/>
        <w:szCs w:val="16"/>
      </w:rPr>
      <w:t xml:space="preserve"> </w:t>
    </w:r>
    <w:r w:rsidR="007D0E38">
      <w:rPr>
        <w:rFonts w:ascii="Arial Narrow" w:hAnsi="Arial Narrow" w:cs="Arial"/>
        <w:sz w:val="16"/>
        <w:szCs w:val="16"/>
      </w:rPr>
      <w:t>6</w:t>
    </w:r>
    <w:r w:rsidR="006F779D">
      <w:rPr>
        <w:rFonts w:ascii="Arial Narrow" w:hAnsi="Arial Narrow" w:cs="Arial"/>
        <w:sz w:val="16"/>
        <w:szCs w:val="16"/>
      </w:rPr>
      <w:t xml:space="preserve"> </w:t>
    </w:r>
    <w:r w:rsidR="00290B04">
      <w:rPr>
        <w:rFonts w:ascii="Arial Narrow" w:hAnsi="Arial Narrow" w:cs="Arial"/>
        <w:sz w:val="16"/>
        <w:szCs w:val="16"/>
      </w:rPr>
      <w:t>February</w:t>
    </w:r>
    <w:r w:rsidR="006F779D">
      <w:rPr>
        <w:rFonts w:ascii="Arial Narrow" w:hAnsi="Arial Narrow" w:cs="Arial"/>
        <w:sz w:val="16"/>
        <w:szCs w:val="16"/>
      </w:rPr>
      <w:t xml:space="preserve"> 202</w:t>
    </w:r>
    <w:r w:rsidR="00290B04">
      <w:rPr>
        <w:rFonts w:ascii="Arial Narrow" w:hAnsi="Arial Narrow" w:cs="Arial"/>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E882" w14:textId="77777777" w:rsidR="00B234CA" w:rsidRPr="008D0A6F" w:rsidRDefault="00B234CA" w:rsidP="00B234CA">
    <w:pPr>
      <w:pStyle w:val="Footer"/>
      <w:jc w:val="center"/>
      <w:rPr>
        <w:rFonts w:ascii="Arial" w:hAnsi="Arial" w:cs="Arial"/>
        <w:sz w:val="20"/>
      </w:rPr>
    </w:pPr>
    <w:r w:rsidRPr="008D0A6F">
      <w:rPr>
        <w:rFonts w:ascii="Arial" w:hAnsi="Arial" w:cs="Arial"/>
        <w:sz w:val="20"/>
      </w:rPr>
      <w:fldChar w:fldCharType="begin"/>
    </w:r>
    <w:r w:rsidRPr="008D0A6F">
      <w:rPr>
        <w:rFonts w:ascii="Arial" w:hAnsi="Arial" w:cs="Arial"/>
        <w:sz w:val="20"/>
      </w:rPr>
      <w:instrText xml:space="preserve"> PAGE   \* MERGEFORMAT </w:instrText>
    </w:r>
    <w:r w:rsidRPr="008D0A6F">
      <w:rPr>
        <w:rFonts w:ascii="Arial" w:hAnsi="Arial" w:cs="Arial"/>
        <w:sz w:val="20"/>
      </w:rPr>
      <w:fldChar w:fldCharType="separate"/>
    </w:r>
    <w:r>
      <w:rPr>
        <w:rFonts w:ascii="Arial" w:hAnsi="Arial" w:cs="Arial"/>
        <w:sz w:val="20"/>
      </w:rPr>
      <w:t>1</w:t>
    </w:r>
    <w:r w:rsidRPr="008D0A6F">
      <w:rPr>
        <w:rFonts w:ascii="Arial" w:hAnsi="Arial" w:cs="Arial"/>
        <w:noProof/>
        <w:sz w:val="20"/>
      </w:rPr>
      <w:fldChar w:fldCharType="end"/>
    </w:r>
  </w:p>
  <w:p w14:paraId="559346EC" w14:textId="30604E49" w:rsidR="009F021D" w:rsidRPr="00B234CA" w:rsidRDefault="00B234CA" w:rsidP="00B234CA">
    <w:pPr>
      <w:pStyle w:val="Footer"/>
      <w:jc w:val="right"/>
      <w:rPr>
        <w:rFonts w:ascii="Arial Narrow" w:hAnsi="Arial Narrow" w:cs="Arial"/>
        <w:sz w:val="16"/>
        <w:szCs w:val="16"/>
      </w:rPr>
    </w:pPr>
    <w:r>
      <w:rPr>
        <w:rFonts w:ascii="Arial Narrow" w:hAnsi="Arial Narrow" w:cs="Arial"/>
        <w:sz w:val="16"/>
        <w:szCs w:val="16"/>
      </w:rPr>
      <w:t xml:space="preserve">Last </w:t>
    </w:r>
    <w:r w:rsidR="001D539A">
      <w:rPr>
        <w:rFonts w:ascii="Arial Narrow" w:hAnsi="Arial Narrow" w:cs="Arial"/>
        <w:sz w:val="16"/>
        <w:szCs w:val="16"/>
      </w:rPr>
      <w:t>modifie</w:t>
    </w:r>
    <w:r w:rsidR="00290B04">
      <w:rPr>
        <w:rFonts w:ascii="Arial Narrow" w:hAnsi="Arial Narrow" w:cs="Arial"/>
        <w:sz w:val="16"/>
        <w:szCs w:val="16"/>
      </w:rPr>
      <w:t xml:space="preserve">d </w:t>
    </w:r>
    <w:r w:rsidR="007D0E38">
      <w:rPr>
        <w:rFonts w:ascii="Arial Narrow" w:hAnsi="Arial Narrow" w:cs="Arial"/>
        <w:sz w:val="16"/>
        <w:szCs w:val="16"/>
      </w:rPr>
      <w:t xml:space="preserve">6 </w:t>
    </w:r>
    <w:r w:rsidR="009071DE">
      <w:rPr>
        <w:rFonts w:ascii="Arial Narrow" w:hAnsi="Arial Narrow" w:cs="Arial"/>
        <w:sz w:val="16"/>
        <w:szCs w:val="16"/>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B5F5" w14:textId="77777777" w:rsidR="00DC11BD" w:rsidRDefault="00DC11BD" w:rsidP="00D52C02">
      <w:pPr>
        <w:spacing w:after="0" w:line="240" w:lineRule="auto"/>
      </w:pPr>
      <w:r>
        <w:separator/>
      </w:r>
    </w:p>
  </w:footnote>
  <w:footnote w:type="continuationSeparator" w:id="0">
    <w:p w14:paraId="772C2800" w14:textId="77777777" w:rsidR="00DC11BD" w:rsidRDefault="00DC11BD" w:rsidP="00D52C02">
      <w:pPr>
        <w:spacing w:after="0" w:line="240" w:lineRule="auto"/>
      </w:pPr>
      <w:r>
        <w:continuationSeparator/>
      </w:r>
    </w:p>
  </w:footnote>
  <w:footnote w:type="continuationNotice" w:id="1">
    <w:p w14:paraId="601243DC" w14:textId="77777777" w:rsidR="00DC11BD" w:rsidRDefault="00DC11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3BE2" w14:textId="1A6FE347" w:rsidR="009E5BDB" w:rsidRPr="009E5BDB" w:rsidRDefault="009E5BDB" w:rsidP="009E5BDB">
    <w:pPr>
      <w:pStyle w:val="Header"/>
      <w:tabs>
        <w:tab w:val="clear" w:pos="4513"/>
        <w:tab w:val="clear" w:pos="9026"/>
        <w:tab w:val="left" w:pos="3043"/>
      </w:tabs>
      <w:rPr>
        <w:rFonts w:ascii="Arial" w:hAnsi="Arial" w:cs="Arial"/>
        <w:b/>
        <w:color w:val="FFFFFF" w:themeColor="background1"/>
        <w:sz w:val="32"/>
      </w:rPr>
    </w:pPr>
    <w:r w:rsidRPr="009E5BDB">
      <w:rPr>
        <w:rFonts w:ascii="Arial" w:hAnsi="Arial" w:cs="Arial"/>
        <w:noProof/>
        <w:color w:val="FFFFFF" w:themeColor="background1"/>
        <w:sz w:val="28"/>
        <w:lang w:eastAsia="en-AU"/>
      </w:rPr>
      <w:drawing>
        <wp:anchor distT="0" distB="0" distL="114300" distR="114300" simplePos="0" relativeHeight="251658242" behindDoc="1" locked="0" layoutInCell="1" allowOverlap="1" wp14:anchorId="095B3BEA" wp14:editId="095B3BEB">
          <wp:simplePos x="0" y="0"/>
          <wp:positionH relativeFrom="page">
            <wp:posOffset>6294755</wp:posOffset>
          </wp:positionH>
          <wp:positionV relativeFrom="page">
            <wp:posOffset>236220</wp:posOffset>
          </wp:positionV>
          <wp:extent cx="1080135" cy="802640"/>
          <wp:effectExtent l="0" t="0" r="0" b="0"/>
          <wp:wrapNone/>
          <wp:docPr id="16" name="Picture 16"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BDB">
      <w:rPr>
        <w:rFonts w:ascii="Arial" w:hAnsi="Arial" w:cs="Arial"/>
        <w:noProof/>
        <w:color w:val="FFFFFF" w:themeColor="background1"/>
        <w:sz w:val="28"/>
        <w:lang w:eastAsia="en-AU"/>
      </w:rPr>
      <mc:AlternateContent>
        <mc:Choice Requires="wps">
          <w:drawing>
            <wp:anchor distT="0" distB="0" distL="114300" distR="114300" simplePos="0" relativeHeight="251658241" behindDoc="1" locked="0" layoutInCell="1" allowOverlap="1" wp14:anchorId="095B3BEC" wp14:editId="095B3BED">
              <wp:simplePos x="0" y="0"/>
              <wp:positionH relativeFrom="page">
                <wp:posOffset>353683</wp:posOffset>
              </wp:positionH>
              <wp:positionV relativeFrom="page">
                <wp:posOffset>233284</wp:posOffset>
              </wp:positionV>
              <wp:extent cx="5939790" cy="802640"/>
              <wp:effectExtent l="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004B85"/>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095B3BF0" w14:textId="77777777" w:rsidR="009E5BDB" w:rsidRDefault="009E5BDB" w:rsidP="009E5BDB"/>
                        <w:p w14:paraId="095B3BF1" w14:textId="77777777" w:rsidR="009E5BDB" w:rsidRDefault="009E5BDB" w:rsidP="009E5BDB"/>
                        <w:p w14:paraId="095B3BF2" w14:textId="77777777" w:rsidR="009E5BDB" w:rsidRPr="001C1EDC" w:rsidRDefault="009E5BDB" w:rsidP="009E5BDB"/>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B3BEC" id="_x0000_t202" coordsize="21600,21600" o:spt="202" path="m,l,21600r21600,l21600,xe">
              <v:stroke joinstyle="miter"/>
              <v:path gradientshapeok="t" o:connecttype="rect"/>
            </v:shapetype>
            <v:shape id="Text Box 3" o:spid="_x0000_s1026" type="#_x0000_t202" style="position:absolute;margin-left:27.85pt;margin-top:18.35pt;width:467.7pt;height:6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d9QEAAM4DAAAOAAAAZHJzL2Uyb0RvYy54bWysU8Fu2zAMvQ/YPwi6L3aytkuMOEWbosOA&#10;rhvQ9QNkWbaFyaJGKbGzrx8lp+na3Yr5IIii9Mj3+Ly+HHvD9gq9Blvy+SznTFkJtbZtyR9/3H5Y&#10;cuaDsLUwYFXJD8rzy837d+vBFWoBHZhaISMQ64vBlbwLwRVZ5mWneuFn4JSlZAPYi0AhtlmNYiD0&#10;3mSLPL/IBsDaIUjlPZ3eTEm+SfhNo2T41jReBWZKTr2FtGJaq7hmm7UoWhSu0/LYhnhDF73Qloqe&#10;oG5EEGyH+h+oXksED02YSegzaBotVeJAbOb5KzYPnXAqcSFxvDvJ5P8frLzfP7jvyMJ4DSMNMJHw&#10;7g7kT88sbDthW3WFCEOnRE2F51GybHC+OD6NUvvCR5Bq+Ao1DVnsAiSgscE+qkI8GaHTAA4n0dUY&#10;mKTD89XH1acVpSTllvni4ixNJRPF02uHPnxW0LO4KTnSUBO62N/5ELsRxdOVWMyD0fWtNiYF2FZb&#10;g2wvogHys+vleSLw6pqx8bKF+GxCjCeJZmQ2cQxjNVIy0q2gPhBhhMlQ9APQpgP8zdlAZiq5/7UT&#10;qDgzX2wUbZnTR/ZL0WIZQ87wRa56EQkrCa7kgbNpuw2Ta3cOddtRtWlUFq5I7EYnHZ47O/ZOpkny&#10;HA0eXfl3nG49/4abPwAAAP//AwBQSwMEFAAGAAgAAAAhAAE6nIrgAAAACQEAAA8AAABkcnMvZG93&#10;bnJldi54bWxMj8FOwzAMhu9IvENkJG4s7aaWrWs6oSGEgANicNgxa7y2WuOUJlvbt8ec4GRZ/6ff&#10;n/PNaFtxwd43jhTEswgEUulMQ5WCr8+nuyUIHzQZ3TpCBRN62BTXV7nOjBvoAy+7UAkuIZ9pBXUI&#10;XSalL2u02s9ch8TZ0fVWB177SppeD1xuWzmPolRa3RBfqHWH2xrL0+5sFWztcXh5TeR3s397fD9N&#10;k3+O5kulbm/GhzWIgGP4g+FXn9WhYKeDO5PxolWQJPdMKlikPDlfreIYxIHBdBGDLHL5/4PiBwAA&#10;//8DAFBLAQItABQABgAIAAAAIQC2gziS/gAAAOEBAAATAAAAAAAAAAAAAAAAAAAAAABbQ29udGVu&#10;dF9UeXBlc10ueG1sUEsBAi0AFAAGAAgAAAAhADj9If/WAAAAlAEAAAsAAAAAAAAAAAAAAAAALwEA&#10;AF9yZWxzLy5yZWxzUEsBAi0AFAAGAAgAAAAhAH/ANh31AQAAzgMAAA4AAAAAAAAAAAAAAAAALgIA&#10;AGRycy9lMm9Eb2MueG1sUEsBAi0AFAAGAAgAAAAhAAE6nIrgAAAACQEAAA8AAAAAAAAAAAAAAAAA&#10;TwQAAGRycy9kb3ducmV2LnhtbFBLBQYAAAAABAAEAPMAAABcBQAAAAA=&#10;" fillcolor="#004b85" stroked="f" strokecolor="#bfbfbf" strokeweight=".5pt">
              <v:textbox inset="5mm,8mm,5mm,5mm">
                <w:txbxContent>
                  <w:p w14:paraId="095B3BF0" w14:textId="77777777" w:rsidR="009E5BDB" w:rsidRDefault="009E5BDB" w:rsidP="009E5BDB"/>
                  <w:p w14:paraId="095B3BF1" w14:textId="77777777" w:rsidR="009E5BDB" w:rsidRDefault="009E5BDB" w:rsidP="009E5BDB"/>
                  <w:p w14:paraId="095B3BF2" w14:textId="77777777" w:rsidR="009E5BDB" w:rsidRPr="001C1EDC" w:rsidRDefault="009E5BDB" w:rsidP="009E5BDB"/>
                </w:txbxContent>
              </v:textbox>
              <w10:wrap anchorx="page" anchory="page"/>
            </v:shape>
          </w:pict>
        </mc:Fallback>
      </mc:AlternateContent>
    </w:r>
    <w:r w:rsidRPr="009E5BDB">
      <w:rPr>
        <w:rFonts w:ascii="Arial" w:hAnsi="Arial" w:cs="Arial"/>
        <w:noProof/>
        <w:color w:val="FFFFFF" w:themeColor="background1"/>
        <w:sz w:val="28"/>
        <w:lang w:eastAsia="en-AU"/>
      </w:rPr>
      <w:drawing>
        <wp:anchor distT="0" distB="0" distL="114300" distR="114300" simplePos="0" relativeHeight="251658240" behindDoc="1" locked="0" layoutInCell="1" allowOverlap="1" wp14:anchorId="095B3BEE" wp14:editId="72430C2F">
          <wp:simplePos x="0" y="0"/>
          <wp:positionH relativeFrom="page">
            <wp:posOffset>12150090</wp:posOffset>
          </wp:positionH>
          <wp:positionV relativeFrom="page">
            <wp:posOffset>222250</wp:posOffset>
          </wp:positionV>
          <wp:extent cx="1080135" cy="802640"/>
          <wp:effectExtent l="0" t="0" r="0" b="0"/>
          <wp:wrapNone/>
          <wp:docPr id="17" name="Picture 17"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BDB">
      <w:rPr>
        <w:rFonts w:ascii="Arial" w:hAnsi="Arial" w:cs="Arial"/>
        <w:color w:val="FFFFFF" w:themeColor="background1"/>
        <w:sz w:val="28"/>
      </w:rPr>
      <w:t>Edith Cowan University</w:t>
    </w:r>
  </w:p>
  <w:p w14:paraId="5F59F05E" w14:textId="77777777" w:rsidR="000123CC" w:rsidRPr="00DC643D" w:rsidRDefault="000123CC" w:rsidP="000123CC">
    <w:pPr>
      <w:spacing w:after="0"/>
      <w:rPr>
        <w:rFonts w:ascii="Arial" w:hAnsi="Arial" w:cs="Arial"/>
        <w:color w:val="FFFFFF" w:themeColor="background1"/>
        <w:szCs w:val="36"/>
      </w:rPr>
    </w:pPr>
    <w:r w:rsidRPr="00DC643D">
      <w:rPr>
        <w:rFonts w:ascii="Arial" w:hAnsi="Arial" w:cs="Arial"/>
        <w:color w:val="FFFFFF" w:themeColor="background1"/>
        <w:szCs w:val="36"/>
      </w:rPr>
      <w:t>Office of the Deputy Vice-Chancellor (Research)</w:t>
    </w:r>
  </w:p>
  <w:p w14:paraId="095B3BE3" w14:textId="75D09E68" w:rsidR="009E5BDB" w:rsidRPr="009E5BDB" w:rsidRDefault="009E5BDB" w:rsidP="009E5BDB">
    <w:pPr>
      <w:pStyle w:val="Header"/>
      <w:tabs>
        <w:tab w:val="clear" w:pos="4513"/>
        <w:tab w:val="clear" w:pos="9026"/>
        <w:tab w:val="left" w:pos="3043"/>
      </w:tabs>
      <w:rPr>
        <w:b/>
      </w:rPr>
    </w:pPr>
    <w:r w:rsidRPr="009E5BDB">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3BE6" w14:textId="4AB585A0" w:rsidR="0019298D" w:rsidRDefault="00753313" w:rsidP="0019298D">
    <w:pPr>
      <w:spacing w:after="0"/>
      <w:rPr>
        <w:rFonts w:ascii="Arial" w:hAnsi="Arial" w:cs="Arial"/>
        <w:color w:val="FFFFFF" w:themeColor="background1"/>
        <w:sz w:val="28"/>
        <w:szCs w:val="44"/>
      </w:rPr>
    </w:pPr>
    <w:r>
      <w:rPr>
        <w:noProof/>
      </w:rPr>
      <w:drawing>
        <wp:anchor distT="0" distB="0" distL="114300" distR="114300" simplePos="0" relativeHeight="251658244" behindDoc="1" locked="0" layoutInCell="1" allowOverlap="1" wp14:anchorId="378FC9FF" wp14:editId="67760F33">
          <wp:simplePos x="0" y="0"/>
          <wp:positionH relativeFrom="page">
            <wp:posOffset>6181725</wp:posOffset>
          </wp:positionH>
          <wp:positionV relativeFrom="page">
            <wp:posOffset>292100</wp:posOffset>
          </wp:positionV>
          <wp:extent cx="1080135" cy="802640"/>
          <wp:effectExtent l="0" t="0" r="5715" b="0"/>
          <wp:wrapNone/>
          <wp:docPr id="11" name="Picture 11"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AA1">
      <w:rPr>
        <w:noProof/>
      </w:rPr>
      <mc:AlternateContent>
        <mc:Choice Requires="wps">
          <w:drawing>
            <wp:anchor distT="0" distB="0" distL="114300" distR="114300" simplePos="0" relativeHeight="251658243" behindDoc="1" locked="0" layoutInCell="1" allowOverlap="1" wp14:anchorId="47523628" wp14:editId="2C4FB189">
              <wp:simplePos x="0" y="0"/>
              <wp:positionH relativeFrom="page">
                <wp:posOffset>381000</wp:posOffset>
              </wp:positionH>
              <wp:positionV relativeFrom="page">
                <wp:posOffset>299720</wp:posOffset>
              </wp:positionV>
              <wp:extent cx="5939790" cy="802640"/>
              <wp:effectExtent l="3175" t="3175" r="635"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004B85"/>
                      </a:solidFill>
                      <a:ln>
                        <a:noFill/>
                      </a:ln>
                      <a:extLst>
                        <a:ext uri="{91240B29-F687-4F45-9708-019B960494DF}">
                          <a14:hiddenLine xmlns:a14="http://schemas.microsoft.com/office/drawing/2010/main" w="6350">
                            <a:solidFill>
                              <a:srgbClr val="BFBFBF"/>
                            </a:solidFill>
                            <a:miter lim="800000"/>
                            <a:headEnd/>
                            <a:tailEnd/>
                          </a14:hiddenLine>
                        </a:ext>
                      </a:extLst>
                    </wps:spPr>
                    <wps:txbx>
                      <w:txbxContent>
                        <w:p w14:paraId="0D1D57EC" w14:textId="77777777" w:rsidR="00FF7AA1" w:rsidRPr="001C1EDC" w:rsidRDefault="00FF7AA1" w:rsidP="00FF7AA1">
                          <w:pPr>
                            <w:jc w:val="right"/>
                            <w:rPr>
                              <w:rFonts w:ascii="Arial" w:hAnsi="Arial"/>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628" id="_x0000_t202" coordsize="21600,21600" o:spt="202" path="m,l,21600r21600,l21600,xe">
              <v:stroke joinstyle="miter"/>
              <v:path gradientshapeok="t" o:connecttype="rect"/>
            </v:shapetype>
            <v:shape id="Text Box 13" o:spid="_x0000_s1027" type="#_x0000_t202" style="position:absolute;margin-left:30pt;margin-top:23.6pt;width:467.7pt;height:63.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ByU9wEAANUDAAAOAAAAZHJzL2Uyb0RvYy54bWysU8Fu2zAMvQ/YPwi6L3aytkuMOEWbosOA&#10;rhvQ9QNkWbaFyaJGKbGzrx8lp+na3Yr5IIii9Mj3+Ly+HHvD9gq9Blvy+SznTFkJtbZtyR9/3H5Y&#10;cuaDsLUwYFXJD8rzy837d+vBFWoBHZhaISMQ64vBlbwLwRVZ5mWneuFn4JSlZAPYi0AhtlmNYiD0&#10;3mSLPL/IBsDaIUjlPZ3eTEm+SfhNo2T41jReBWZKTr2FtGJaq7hmm7UoWhSu0/LYhnhDF73Qloqe&#10;oG5EEGyH+h+oXksED02YSegzaBotVeJAbOb5KzYPnXAqcSFxvDvJ5P8frLzfP7jvyMJ4DSMNMJHw&#10;7g7kT88sbDthW3WFCEOnRE2F51GybHC+OD6NUvvCR5Bq+Ao1DVnsAiSgscE+qkI8GaHTAA4n0dUY&#10;mKTD89XH1acVpSTllvni4ixNJRPF02uHPnxW0LO4KTnSUBO62N/5ELsRxdOVWMyD0fWtNiYF2FZb&#10;g2wvogHys+vleSLw6pqx8bKF+GxCjCeJZmQ2cQxjNTJdHzWIrCuoD8QbYfIV/Qe06QB/czaQp0ru&#10;f+0EKs7MFxu1W+b0kQtTtFjGkDN8kateRMJKgit54GzabsNk3p1D3XZUbZqYhSvSvNFJjufOjhTI&#10;O0mlo8+jOf+O063nv3HzBwAA//8DAFBLAwQUAAYACAAAACEAZ+qEYuEAAAAJAQAADwAAAGRycy9k&#10;b3ducmV2LnhtbEyPQU/CQBSE7yb+h80z8SZbKxSo3RKDMUY8GMCDx6X7aBu6b2t3oe2/93nS42Qm&#10;M99kq8E24oKdrx0puJ9EIJAKZ2oqFXzuX+4WIHzQZHTjCBWM6GGVX19lOjWupy1edqEUXEI+1Qqq&#10;ENpUSl9UaLWfuBaJvaPrrA4su1KaTvdcbhsZR1Eira6JFyrd4rrC4rQ7WwVre+zfNjP5XX+9P3+c&#10;xtG/RvFCqdub4ekRRMAh/IXhF5/RIWemgzuT8aJRkER8JSiYzmMQ7C+XsymIAwfnDwnIPJP/H+Q/&#10;AAAA//8DAFBLAQItABQABgAIAAAAIQC2gziS/gAAAOEBAAATAAAAAAAAAAAAAAAAAAAAAABbQ29u&#10;dGVudF9UeXBlc10ueG1sUEsBAi0AFAAGAAgAAAAhADj9If/WAAAAlAEAAAsAAAAAAAAAAAAAAAAA&#10;LwEAAF9yZWxzLy5yZWxzUEsBAi0AFAAGAAgAAAAhADbUHJT3AQAA1QMAAA4AAAAAAAAAAAAAAAAA&#10;LgIAAGRycy9lMm9Eb2MueG1sUEsBAi0AFAAGAAgAAAAhAGfqhGLhAAAACQEAAA8AAAAAAAAAAAAA&#10;AAAAUQQAAGRycy9kb3ducmV2LnhtbFBLBQYAAAAABAAEAPMAAABfBQAAAAA=&#10;" fillcolor="#004b85" stroked="f" strokecolor="#bfbfbf" strokeweight=".5pt">
              <v:textbox inset="5mm,8mm,5mm,5mm">
                <w:txbxContent>
                  <w:p w14:paraId="0D1D57EC" w14:textId="77777777" w:rsidR="00FF7AA1" w:rsidRPr="001C1EDC" w:rsidRDefault="00FF7AA1" w:rsidP="00FF7AA1">
                    <w:pPr>
                      <w:jc w:val="right"/>
                      <w:rPr>
                        <w:rFonts w:ascii="Arial" w:hAnsi="Arial"/>
                        <w:sz w:val="72"/>
                      </w:rPr>
                    </w:pPr>
                  </w:p>
                </w:txbxContent>
              </v:textbox>
              <w10:wrap anchorx="page" anchory="page"/>
            </v:shape>
          </w:pict>
        </mc:Fallback>
      </mc:AlternateContent>
    </w:r>
    <w:r w:rsidR="0019298D" w:rsidRPr="0019298D">
      <w:rPr>
        <w:rFonts w:ascii="Arial" w:hAnsi="Arial" w:cs="Arial"/>
        <w:color w:val="FFFFFF" w:themeColor="background1"/>
        <w:sz w:val="28"/>
        <w:szCs w:val="44"/>
      </w:rPr>
      <w:t>Edith Cowan University</w:t>
    </w:r>
  </w:p>
  <w:p w14:paraId="30D41A40" w14:textId="0055C508" w:rsidR="00DC643D" w:rsidRPr="00DC643D" w:rsidRDefault="00DC643D" w:rsidP="0019298D">
    <w:pPr>
      <w:spacing w:after="0"/>
      <w:rPr>
        <w:rFonts w:ascii="Arial" w:hAnsi="Arial" w:cs="Arial"/>
        <w:color w:val="FFFFFF" w:themeColor="background1"/>
        <w:szCs w:val="36"/>
      </w:rPr>
    </w:pPr>
    <w:r w:rsidRPr="00DC643D">
      <w:rPr>
        <w:rFonts w:ascii="Arial" w:hAnsi="Arial" w:cs="Arial"/>
        <w:color w:val="FFFFFF" w:themeColor="background1"/>
        <w:szCs w:val="36"/>
      </w:rPr>
      <w:t>Office of the Deputy Vice-Chancellor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26D"/>
    <w:multiLevelType w:val="hybridMultilevel"/>
    <w:tmpl w:val="ECE47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C2AE0"/>
    <w:multiLevelType w:val="multilevel"/>
    <w:tmpl w:val="36AE3BE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8D3500"/>
    <w:multiLevelType w:val="hybridMultilevel"/>
    <w:tmpl w:val="E96C76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945D20"/>
    <w:multiLevelType w:val="hybridMultilevel"/>
    <w:tmpl w:val="6F32359A"/>
    <w:lvl w:ilvl="0" w:tplc="55C4BFA6">
      <w:start w:val="1"/>
      <w:numFmt w:val="decimal"/>
      <w:lvlText w:val="%1."/>
      <w:lvlJc w:val="left"/>
      <w:pPr>
        <w:ind w:left="644"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24243C"/>
    <w:multiLevelType w:val="hybridMultilevel"/>
    <w:tmpl w:val="88B8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C4ACE"/>
    <w:multiLevelType w:val="hybridMultilevel"/>
    <w:tmpl w:val="0AA498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78F5FF9"/>
    <w:multiLevelType w:val="hybridMultilevel"/>
    <w:tmpl w:val="6DC214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B81833"/>
    <w:multiLevelType w:val="hybridMultilevel"/>
    <w:tmpl w:val="111E05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255550"/>
    <w:multiLevelType w:val="hybridMultilevel"/>
    <w:tmpl w:val="535A29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A5E587E"/>
    <w:multiLevelType w:val="hybridMultilevel"/>
    <w:tmpl w:val="6F32359A"/>
    <w:lvl w:ilvl="0" w:tplc="55C4BFA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7A7549"/>
    <w:multiLevelType w:val="hybridMultilevel"/>
    <w:tmpl w:val="70B68A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86F081D"/>
    <w:multiLevelType w:val="multilevel"/>
    <w:tmpl w:val="AA8A248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8F64F57"/>
    <w:multiLevelType w:val="hybridMultilevel"/>
    <w:tmpl w:val="246ED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573C97"/>
    <w:multiLevelType w:val="hybridMultilevel"/>
    <w:tmpl w:val="6F32359A"/>
    <w:lvl w:ilvl="0" w:tplc="55C4BFA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F153B9"/>
    <w:multiLevelType w:val="multilevel"/>
    <w:tmpl w:val="48C2CC2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52B07B3E"/>
    <w:multiLevelType w:val="hybridMultilevel"/>
    <w:tmpl w:val="6F32359A"/>
    <w:lvl w:ilvl="0" w:tplc="55C4BFA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D2B84"/>
    <w:multiLevelType w:val="hybridMultilevel"/>
    <w:tmpl w:val="37865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8215B3"/>
    <w:multiLevelType w:val="hybridMultilevel"/>
    <w:tmpl w:val="445273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AA49E2"/>
    <w:multiLevelType w:val="hybridMultilevel"/>
    <w:tmpl w:val="70A87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AD72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D258BA"/>
    <w:multiLevelType w:val="hybridMultilevel"/>
    <w:tmpl w:val="32C4D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C65B3C"/>
    <w:multiLevelType w:val="hybridMultilevel"/>
    <w:tmpl w:val="0B7AAE6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0177AA8"/>
    <w:multiLevelType w:val="hybridMultilevel"/>
    <w:tmpl w:val="B248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5B4279"/>
    <w:multiLevelType w:val="hybridMultilevel"/>
    <w:tmpl w:val="6F32359A"/>
    <w:lvl w:ilvl="0" w:tplc="55C4BFA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5B4612"/>
    <w:multiLevelType w:val="hybridMultilevel"/>
    <w:tmpl w:val="A4442E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62008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295A62"/>
    <w:multiLevelType w:val="hybridMultilevel"/>
    <w:tmpl w:val="B936DB96"/>
    <w:lvl w:ilvl="0" w:tplc="55C4BFA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6B7DFF"/>
    <w:multiLevelType w:val="hybridMultilevel"/>
    <w:tmpl w:val="CE2027CE"/>
    <w:lvl w:ilvl="0" w:tplc="63A4F8E2">
      <w:start w:val="1"/>
      <w:numFmt w:val="lowerLetter"/>
      <w:pStyle w:val="11111RulesHeading5"/>
      <w:lvlText w:val="%1)"/>
      <w:lvlJc w:val="left"/>
      <w:pPr>
        <w:ind w:left="1647"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367" w:hanging="360"/>
      </w:pPr>
    </w:lvl>
    <w:lvl w:ilvl="2" w:tplc="0C090019">
      <w:start w:val="1"/>
      <w:numFmt w:val="lowerLetter"/>
      <w:lvlText w:val="%3."/>
      <w:lvlJc w:val="left"/>
      <w:pPr>
        <w:ind w:left="3087" w:hanging="180"/>
      </w:pPr>
    </w:lvl>
    <w:lvl w:ilvl="3" w:tplc="0C09000F">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num w:numId="1" w16cid:durableId="1089041105">
    <w:abstractNumId w:val="5"/>
  </w:num>
  <w:num w:numId="2" w16cid:durableId="1704331037">
    <w:abstractNumId w:val="8"/>
  </w:num>
  <w:num w:numId="3" w16cid:durableId="872499547">
    <w:abstractNumId w:val="24"/>
  </w:num>
  <w:num w:numId="4" w16cid:durableId="2082750976">
    <w:abstractNumId w:val="10"/>
  </w:num>
  <w:num w:numId="5" w16cid:durableId="366637634">
    <w:abstractNumId w:val="2"/>
  </w:num>
  <w:num w:numId="6" w16cid:durableId="625895571">
    <w:abstractNumId w:val="6"/>
  </w:num>
  <w:num w:numId="7" w16cid:durableId="74134408">
    <w:abstractNumId w:val="3"/>
  </w:num>
  <w:num w:numId="8" w16cid:durableId="645092763">
    <w:abstractNumId w:val="21"/>
  </w:num>
  <w:num w:numId="9" w16cid:durableId="1538660245">
    <w:abstractNumId w:val="26"/>
  </w:num>
  <w:num w:numId="10" w16cid:durableId="355692164">
    <w:abstractNumId w:val="1"/>
  </w:num>
  <w:num w:numId="11" w16cid:durableId="138303539">
    <w:abstractNumId w:val="9"/>
  </w:num>
  <w:num w:numId="12" w16cid:durableId="421071212">
    <w:abstractNumId w:val="15"/>
  </w:num>
  <w:num w:numId="13" w16cid:durableId="157549557">
    <w:abstractNumId w:val="23"/>
  </w:num>
  <w:num w:numId="14" w16cid:durableId="2044281813">
    <w:abstractNumId w:val="13"/>
  </w:num>
  <w:num w:numId="15" w16cid:durableId="723454353">
    <w:abstractNumId w:val="25"/>
  </w:num>
  <w:num w:numId="16" w16cid:durableId="1028287983">
    <w:abstractNumId w:val="11"/>
  </w:num>
  <w:num w:numId="17" w16cid:durableId="1267343806">
    <w:abstractNumId w:val="7"/>
  </w:num>
  <w:num w:numId="18" w16cid:durableId="260455783">
    <w:abstractNumId w:val="17"/>
  </w:num>
  <w:num w:numId="19" w16cid:durableId="1207260440">
    <w:abstractNumId w:val="18"/>
  </w:num>
  <w:num w:numId="20" w16cid:durableId="75791271">
    <w:abstractNumId w:val="22"/>
  </w:num>
  <w:num w:numId="21" w16cid:durableId="1464427456">
    <w:abstractNumId w:val="0"/>
  </w:num>
  <w:num w:numId="22" w16cid:durableId="1949046150">
    <w:abstractNumId w:val="16"/>
  </w:num>
  <w:num w:numId="23" w16cid:durableId="1818839672">
    <w:abstractNumId w:val="27"/>
  </w:num>
  <w:num w:numId="24" w16cid:durableId="1991982189">
    <w:abstractNumId w:val="19"/>
  </w:num>
  <w:num w:numId="25" w16cid:durableId="999502135">
    <w:abstractNumId w:val="12"/>
  </w:num>
  <w:num w:numId="26" w16cid:durableId="1994989615">
    <w:abstractNumId w:val="20"/>
  </w:num>
  <w:num w:numId="27" w16cid:durableId="806046711">
    <w:abstractNumId w:val="4"/>
  </w:num>
  <w:num w:numId="28" w16cid:durableId="1696803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02"/>
    <w:rsid w:val="00007C30"/>
    <w:rsid w:val="00010ADA"/>
    <w:rsid w:val="00010CD4"/>
    <w:rsid w:val="000121BE"/>
    <w:rsid w:val="000123CC"/>
    <w:rsid w:val="0001683F"/>
    <w:rsid w:val="00017C4A"/>
    <w:rsid w:val="00023CD8"/>
    <w:rsid w:val="000329A1"/>
    <w:rsid w:val="000433B2"/>
    <w:rsid w:val="00045C00"/>
    <w:rsid w:val="00052D2F"/>
    <w:rsid w:val="000557B1"/>
    <w:rsid w:val="00056495"/>
    <w:rsid w:val="00072F17"/>
    <w:rsid w:val="00075EEB"/>
    <w:rsid w:val="0007624D"/>
    <w:rsid w:val="00081903"/>
    <w:rsid w:val="00085B47"/>
    <w:rsid w:val="00091BFF"/>
    <w:rsid w:val="00093C88"/>
    <w:rsid w:val="000A0EFA"/>
    <w:rsid w:val="000A26F9"/>
    <w:rsid w:val="000A43C7"/>
    <w:rsid w:val="000A596C"/>
    <w:rsid w:val="000B5984"/>
    <w:rsid w:val="000C4AE5"/>
    <w:rsid w:val="000C53A5"/>
    <w:rsid w:val="000D126D"/>
    <w:rsid w:val="000D5FF8"/>
    <w:rsid w:val="000F584D"/>
    <w:rsid w:val="000F731E"/>
    <w:rsid w:val="001013B3"/>
    <w:rsid w:val="00106553"/>
    <w:rsid w:val="0011337E"/>
    <w:rsid w:val="001248D1"/>
    <w:rsid w:val="001303DF"/>
    <w:rsid w:val="001310CD"/>
    <w:rsid w:val="00131E8D"/>
    <w:rsid w:val="001348CE"/>
    <w:rsid w:val="0013555F"/>
    <w:rsid w:val="0014404E"/>
    <w:rsid w:val="00156269"/>
    <w:rsid w:val="00157075"/>
    <w:rsid w:val="0016293E"/>
    <w:rsid w:val="0016643C"/>
    <w:rsid w:val="001676B1"/>
    <w:rsid w:val="001709F6"/>
    <w:rsid w:val="00171E95"/>
    <w:rsid w:val="00185970"/>
    <w:rsid w:val="0019298D"/>
    <w:rsid w:val="001A2405"/>
    <w:rsid w:val="001A5528"/>
    <w:rsid w:val="001A5652"/>
    <w:rsid w:val="001A76D0"/>
    <w:rsid w:val="001B0F1D"/>
    <w:rsid w:val="001B2975"/>
    <w:rsid w:val="001B6C4E"/>
    <w:rsid w:val="001C3564"/>
    <w:rsid w:val="001C557F"/>
    <w:rsid w:val="001C6BF7"/>
    <w:rsid w:val="001C77F8"/>
    <w:rsid w:val="001D539A"/>
    <w:rsid w:val="001E2407"/>
    <w:rsid w:val="001E3331"/>
    <w:rsid w:val="001E68AC"/>
    <w:rsid w:val="001F1D9B"/>
    <w:rsid w:val="001F553A"/>
    <w:rsid w:val="00203657"/>
    <w:rsid w:val="00215512"/>
    <w:rsid w:val="00223EE8"/>
    <w:rsid w:val="00226139"/>
    <w:rsid w:val="00226A74"/>
    <w:rsid w:val="00234271"/>
    <w:rsid w:val="00240DA6"/>
    <w:rsid w:val="002435C4"/>
    <w:rsid w:val="0024586F"/>
    <w:rsid w:val="002531EF"/>
    <w:rsid w:val="0026531D"/>
    <w:rsid w:val="00266620"/>
    <w:rsid w:val="0026752C"/>
    <w:rsid w:val="002707B9"/>
    <w:rsid w:val="00270B25"/>
    <w:rsid w:val="00272143"/>
    <w:rsid w:val="002805D8"/>
    <w:rsid w:val="00287665"/>
    <w:rsid w:val="00290B04"/>
    <w:rsid w:val="002912E9"/>
    <w:rsid w:val="002A4115"/>
    <w:rsid w:val="002B0727"/>
    <w:rsid w:val="002B2A7F"/>
    <w:rsid w:val="002B38E6"/>
    <w:rsid w:val="002B450A"/>
    <w:rsid w:val="002B5805"/>
    <w:rsid w:val="002C042A"/>
    <w:rsid w:val="002C1F46"/>
    <w:rsid w:val="002C2D42"/>
    <w:rsid w:val="002C4E16"/>
    <w:rsid w:val="002C50BB"/>
    <w:rsid w:val="002D51DE"/>
    <w:rsid w:val="002E0E01"/>
    <w:rsid w:val="002E3A63"/>
    <w:rsid w:val="002E4313"/>
    <w:rsid w:val="002E49CE"/>
    <w:rsid w:val="002F132C"/>
    <w:rsid w:val="00314A34"/>
    <w:rsid w:val="0031652D"/>
    <w:rsid w:val="00323586"/>
    <w:rsid w:val="00331895"/>
    <w:rsid w:val="003353F4"/>
    <w:rsid w:val="00337F02"/>
    <w:rsid w:val="0034180C"/>
    <w:rsid w:val="00344EA8"/>
    <w:rsid w:val="00351008"/>
    <w:rsid w:val="00351285"/>
    <w:rsid w:val="00351E52"/>
    <w:rsid w:val="00357128"/>
    <w:rsid w:val="00372485"/>
    <w:rsid w:val="00376459"/>
    <w:rsid w:val="00377549"/>
    <w:rsid w:val="003811FC"/>
    <w:rsid w:val="003837D8"/>
    <w:rsid w:val="0039660D"/>
    <w:rsid w:val="003A4114"/>
    <w:rsid w:val="003B0D66"/>
    <w:rsid w:val="003B6202"/>
    <w:rsid w:val="003C2539"/>
    <w:rsid w:val="003C3E4F"/>
    <w:rsid w:val="003D342F"/>
    <w:rsid w:val="003E0463"/>
    <w:rsid w:val="003E05BF"/>
    <w:rsid w:val="00404222"/>
    <w:rsid w:val="004057DE"/>
    <w:rsid w:val="004105C1"/>
    <w:rsid w:val="00410C04"/>
    <w:rsid w:val="0041286A"/>
    <w:rsid w:val="004146B8"/>
    <w:rsid w:val="00416868"/>
    <w:rsid w:val="00416D54"/>
    <w:rsid w:val="00417D66"/>
    <w:rsid w:val="00426D8C"/>
    <w:rsid w:val="0043467D"/>
    <w:rsid w:val="004418F2"/>
    <w:rsid w:val="004434F7"/>
    <w:rsid w:val="00454D9D"/>
    <w:rsid w:val="00455EC2"/>
    <w:rsid w:val="004602D3"/>
    <w:rsid w:val="004608C2"/>
    <w:rsid w:val="00462E61"/>
    <w:rsid w:val="00465F67"/>
    <w:rsid w:val="0046631C"/>
    <w:rsid w:val="00476657"/>
    <w:rsid w:val="00476F0D"/>
    <w:rsid w:val="0048284F"/>
    <w:rsid w:val="004853B8"/>
    <w:rsid w:val="0048545A"/>
    <w:rsid w:val="00487E2B"/>
    <w:rsid w:val="004902EA"/>
    <w:rsid w:val="00493995"/>
    <w:rsid w:val="00495C6E"/>
    <w:rsid w:val="004979AE"/>
    <w:rsid w:val="004A3F89"/>
    <w:rsid w:val="004A51AF"/>
    <w:rsid w:val="004A71B5"/>
    <w:rsid w:val="004B2FC3"/>
    <w:rsid w:val="004B435B"/>
    <w:rsid w:val="004C16AD"/>
    <w:rsid w:val="004E5728"/>
    <w:rsid w:val="004E6242"/>
    <w:rsid w:val="004E7DB6"/>
    <w:rsid w:val="0050027D"/>
    <w:rsid w:val="00504BC7"/>
    <w:rsid w:val="00512E39"/>
    <w:rsid w:val="00525E3C"/>
    <w:rsid w:val="0053546F"/>
    <w:rsid w:val="005365D5"/>
    <w:rsid w:val="005369EB"/>
    <w:rsid w:val="005422CA"/>
    <w:rsid w:val="00554DB0"/>
    <w:rsid w:val="00555523"/>
    <w:rsid w:val="005571BB"/>
    <w:rsid w:val="005602B4"/>
    <w:rsid w:val="00565F7C"/>
    <w:rsid w:val="005666B4"/>
    <w:rsid w:val="00566B4A"/>
    <w:rsid w:val="00576917"/>
    <w:rsid w:val="005858AD"/>
    <w:rsid w:val="00585A7B"/>
    <w:rsid w:val="005A3DD2"/>
    <w:rsid w:val="005B46CF"/>
    <w:rsid w:val="005B47B2"/>
    <w:rsid w:val="005B5878"/>
    <w:rsid w:val="005B6F01"/>
    <w:rsid w:val="005C0BC4"/>
    <w:rsid w:val="005C1CB8"/>
    <w:rsid w:val="005D3D34"/>
    <w:rsid w:val="005E5451"/>
    <w:rsid w:val="005E7202"/>
    <w:rsid w:val="005F0822"/>
    <w:rsid w:val="005F31DD"/>
    <w:rsid w:val="006029F8"/>
    <w:rsid w:val="00605581"/>
    <w:rsid w:val="006124E2"/>
    <w:rsid w:val="00624470"/>
    <w:rsid w:val="006271FD"/>
    <w:rsid w:val="00642765"/>
    <w:rsid w:val="00642E9D"/>
    <w:rsid w:val="00645F64"/>
    <w:rsid w:val="006474D6"/>
    <w:rsid w:val="00653E36"/>
    <w:rsid w:val="00654AAC"/>
    <w:rsid w:val="0066337A"/>
    <w:rsid w:val="00666F8E"/>
    <w:rsid w:val="00667A21"/>
    <w:rsid w:val="0067429D"/>
    <w:rsid w:val="00675B81"/>
    <w:rsid w:val="00681297"/>
    <w:rsid w:val="0069239B"/>
    <w:rsid w:val="006940A3"/>
    <w:rsid w:val="00697E4A"/>
    <w:rsid w:val="006A038A"/>
    <w:rsid w:val="006B260F"/>
    <w:rsid w:val="006D1E01"/>
    <w:rsid w:val="006D787E"/>
    <w:rsid w:val="006E0E1B"/>
    <w:rsid w:val="006E771A"/>
    <w:rsid w:val="006F07C2"/>
    <w:rsid w:val="006F779D"/>
    <w:rsid w:val="007006C1"/>
    <w:rsid w:val="007104B1"/>
    <w:rsid w:val="0072512D"/>
    <w:rsid w:val="00727950"/>
    <w:rsid w:val="0073085A"/>
    <w:rsid w:val="007317A4"/>
    <w:rsid w:val="00733DE0"/>
    <w:rsid w:val="00737284"/>
    <w:rsid w:val="007456C5"/>
    <w:rsid w:val="00751284"/>
    <w:rsid w:val="00753313"/>
    <w:rsid w:val="00762603"/>
    <w:rsid w:val="0076576D"/>
    <w:rsid w:val="0078455A"/>
    <w:rsid w:val="00791CB4"/>
    <w:rsid w:val="00794D22"/>
    <w:rsid w:val="007A05ED"/>
    <w:rsid w:val="007B0FF1"/>
    <w:rsid w:val="007B5A5F"/>
    <w:rsid w:val="007B74F2"/>
    <w:rsid w:val="007C22CF"/>
    <w:rsid w:val="007C3B74"/>
    <w:rsid w:val="007D0E38"/>
    <w:rsid w:val="007D7CF3"/>
    <w:rsid w:val="007E60AD"/>
    <w:rsid w:val="007F6842"/>
    <w:rsid w:val="0080540B"/>
    <w:rsid w:val="00806AD3"/>
    <w:rsid w:val="0081380A"/>
    <w:rsid w:val="0082600B"/>
    <w:rsid w:val="00827C92"/>
    <w:rsid w:val="008328D4"/>
    <w:rsid w:val="0083624A"/>
    <w:rsid w:val="00851724"/>
    <w:rsid w:val="0085365A"/>
    <w:rsid w:val="00855655"/>
    <w:rsid w:val="00857C6B"/>
    <w:rsid w:val="00862AF8"/>
    <w:rsid w:val="008743E2"/>
    <w:rsid w:val="00882389"/>
    <w:rsid w:val="00884322"/>
    <w:rsid w:val="008845FB"/>
    <w:rsid w:val="00885CAB"/>
    <w:rsid w:val="00890EE7"/>
    <w:rsid w:val="00894FC8"/>
    <w:rsid w:val="00896C90"/>
    <w:rsid w:val="00896EA2"/>
    <w:rsid w:val="008A2DD0"/>
    <w:rsid w:val="008A4C60"/>
    <w:rsid w:val="008C3839"/>
    <w:rsid w:val="008C4FA2"/>
    <w:rsid w:val="008C54A8"/>
    <w:rsid w:val="008D0A6F"/>
    <w:rsid w:val="008D1FEC"/>
    <w:rsid w:val="008E1F4B"/>
    <w:rsid w:val="008E3871"/>
    <w:rsid w:val="008E466A"/>
    <w:rsid w:val="008E6B8F"/>
    <w:rsid w:val="008E7986"/>
    <w:rsid w:val="00906C99"/>
    <w:rsid w:val="009071DE"/>
    <w:rsid w:val="009102CC"/>
    <w:rsid w:val="009117A1"/>
    <w:rsid w:val="00911C9D"/>
    <w:rsid w:val="0091423C"/>
    <w:rsid w:val="00916CEE"/>
    <w:rsid w:val="0092135F"/>
    <w:rsid w:val="00930FE5"/>
    <w:rsid w:val="00933F49"/>
    <w:rsid w:val="00940DA3"/>
    <w:rsid w:val="009430B2"/>
    <w:rsid w:val="00946D46"/>
    <w:rsid w:val="00947176"/>
    <w:rsid w:val="009510FE"/>
    <w:rsid w:val="0095177C"/>
    <w:rsid w:val="009562E9"/>
    <w:rsid w:val="00957FB6"/>
    <w:rsid w:val="009609EF"/>
    <w:rsid w:val="0096288E"/>
    <w:rsid w:val="00972EA5"/>
    <w:rsid w:val="00980FA8"/>
    <w:rsid w:val="0098192F"/>
    <w:rsid w:val="00982938"/>
    <w:rsid w:val="0098362C"/>
    <w:rsid w:val="00990A24"/>
    <w:rsid w:val="009927ED"/>
    <w:rsid w:val="00995C6A"/>
    <w:rsid w:val="009A1F42"/>
    <w:rsid w:val="009A1F47"/>
    <w:rsid w:val="009A40F6"/>
    <w:rsid w:val="009B397F"/>
    <w:rsid w:val="009B6962"/>
    <w:rsid w:val="009B6ABF"/>
    <w:rsid w:val="009C0E6D"/>
    <w:rsid w:val="009C1B2A"/>
    <w:rsid w:val="009C1CA8"/>
    <w:rsid w:val="009C3A09"/>
    <w:rsid w:val="009C3B5A"/>
    <w:rsid w:val="009C7B30"/>
    <w:rsid w:val="009E27D7"/>
    <w:rsid w:val="009E5399"/>
    <w:rsid w:val="009E5BDB"/>
    <w:rsid w:val="009F021D"/>
    <w:rsid w:val="009F1CCB"/>
    <w:rsid w:val="00A0112F"/>
    <w:rsid w:val="00A07723"/>
    <w:rsid w:val="00A1349D"/>
    <w:rsid w:val="00A24255"/>
    <w:rsid w:val="00A26964"/>
    <w:rsid w:val="00A434CC"/>
    <w:rsid w:val="00A45A21"/>
    <w:rsid w:val="00A45BEB"/>
    <w:rsid w:val="00A5441E"/>
    <w:rsid w:val="00A56780"/>
    <w:rsid w:val="00A65DC1"/>
    <w:rsid w:val="00A6672A"/>
    <w:rsid w:val="00A7355A"/>
    <w:rsid w:val="00A7458F"/>
    <w:rsid w:val="00A81609"/>
    <w:rsid w:val="00A94D54"/>
    <w:rsid w:val="00AA1EE1"/>
    <w:rsid w:val="00AA3D3E"/>
    <w:rsid w:val="00AA45F0"/>
    <w:rsid w:val="00AA58E0"/>
    <w:rsid w:val="00AB0655"/>
    <w:rsid w:val="00AC3859"/>
    <w:rsid w:val="00AC471B"/>
    <w:rsid w:val="00AC4903"/>
    <w:rsid w:val="00AD2C48"/>
    <w:rsid w:val="00AD513D"/>
    <w:rsid w:val="00AE3ACB"/>
    <w:rsid w:val="00B00E99"/>
    <w:rsid w:val="00B052F6"/>
    <w:rsid w:val="00B055E3"/>
    <w:rsid w:val="00B14FBE"/>
    <w:rsid w:val="00B1698D"/>
    <w:rsid w:val="00B234CA"/>
    <w:rsid w:val="00B25BA1"/>
    <w:rsid w:val="00B32F99"/>
    <w:rsid w:val="00B37B7B"/>
    <w:rsid w:val="00B42A64"/>
    <w:rsid w:val="00B44B4C"/>
    <w:rsid w:val="00B461BE"/>
    <w:rsid w:val="00B50801"/>
    <w:rsid w:val="00B517FA"/>
    <w:rsid w:val="00B546DE"/>
    <w:rsid w:val="00B557E2"/>
    <w:rsid w:val="00B562A1"/>
    <w:rsid w:val="00B62921"/>
    <w:rsid w:val="00B64021"/>
    <w:rsid w:val="00B64135"/>
    <w:rsid w:val="00B66521"/>
    <w:rsid w:val="00B706FF"/>
    <w:rsid w:val="00B770C7"/>
    <w:rsid w:val="00B82AF2"/>
    <w:rsid w:val="00B87587"/>
    <w:rsid w:val="00B87B1F"/>
    <w:rsid w:val="00B92B80"/>
    <w:rsid w:val="00B9476E"/>
    <w:rsid w:val="00B961DD"/>
    <w:rsid w:val="00BA78FA"/>
    <w:rsid w:val="00BB79E7"/>
    <w:rsid w:val="00BD2C0D"/>
    <w:rsid w:val="00BE5C3F"/>
    <w:rsid w:val="00C07815"/>
    <w:rsid w:val="00C10F4C"/>
    <w:rsid w:val="00C142D7"/>
    <w:rsid w:val="00C14F06"/>
    <w:rsid w:val="00C17796"/>
    <w:rsid w:val="00C17C65"/>
    <w:rsid w:val="00C2187F"/>
    <w:rsid w:val="00C222FC"/>
    <w:rsid w:val="00C24B86"/>
    <w:rsid w:val="00C25B24"/>
    <w:rsid w:val="00C26595"/>
    <w:rsid w:val="00C3511E"/>
    <w:rsid w:val="00C35789"/>
    <w:rsid w:val="00C41E4D"/>
    <w:rsid w:val="00C60553"/>
    <w:rsid w:val="00C62C68"/>
    <w:rsid w:val="00C649A1"/>
    <w:rsid w:val="00C73174"/>
    <w:rsid w:val="00C75819"/>
    <w:rsid w:val="00C81F93"/>
    <w:rsid w:val="00C961D3"/>
    <w:rsid w:val="00CA0DEE"/>
    <w:rsid w:val="00CA4414"/>
    <w:rsid w:val="00CA62D9"/>
    <w:rsid w:val="00CB0CA4"/>
    <w:rsid w:val="00CB6D28"/>
    <w:rsid w:val="00CC0E36"/>
    <w:rsid w:val="00CC1F6A"/>
    <w:rsid w:val="00CC2EAC"/>
    <w:rsid w:val="00CE0424"/>
    <w:rsid w:val="00CE1D6B"/>
    <w:rsid w:val="00CF4C06"/>
    <w:rsid w:val="00CF5310"/>
    <w:rsid w:val="00CF5853"/>
    <w:rsid w:val="00D005C4"/>
    <w:rsid w:val="00D06AF1"/>
    <w:rsid w:val="00D10996"/>
    <w:rsid w:val="00D10DC1"/>
    <w:rsid w:val="00D121F3"/>
    <w:rsid w:val="00D12C5C"/>
    <w:rsid w:val="00D268FE"/>
    <w:rsid w:val="00D323EF"/>
    <w:rsid w:val="00D460B0"/>
    <w:rsid w:val="00D505D0"/>
    <w:rsid w:val="00D52C02"/>
    <w:rsid w:val="00D534C7"/>
    <w:rsid w:val="00D55BB6"/>
    <w:rsid w:val="00D55CEB"/>
    <w:rsid w:val="00D674C0"/>
    <w:rsid w:val="00D676CF"/>
    <w:rsid w:val="00D81AAF"/>
    <w:rsid w:val="00D82339"/>
    <w:rsid w:val="00D83442"/>
    <w:rsid w:val="00D912D4"/>
    <w:rsid w:val="00D956AC"/>
    <w:rsid w:val="00D96727"/>
    <w:rsid w:val="00D979BB"/>
    <w:rsid w:val="00D97DD4"/>
    <w:rsid w:val="00DA30A1"/>
    <w:rsid w:val="00DB4312"/>
    <w:rsid w:val="00DB5C8F"/>
    <w:rsid w:val="00DB7E6C"/>
    <w:rsid w:val="00DC11BD"/>
    <w:rsid w:val="00DC26DA"/>
    <w:rsid w:val="00DC4225"/>
    <w:rsid w:val="00DC643D"/>
    <w:rsid w:val="00DC7151"/>
    <w:rsid w:val="00DD15B6"/>
    <w:rsid w:val="00DD4A64"/>
    <w:rsid w:val="00DD59C0"/>
    <w:rsid w:val="00DE54D9"/>
    <w:rsid w:val="00DE5D04"/>
    <w:rsid w:val="00DF2C5F"/>
    <w:rsid w:val="00E01B6A"/>
    <w:rsid w:val="00E062B0"/>
    <w:rsid w:val="00E31CB8"/>
    <w:rsid w:val="00E31E9C"/>
    <w:rsid w:val="00E3330C"/>
    <w:rsid w:val="00E37C0A"/>
    <w:rsid w:val="00E4488A"/>
    <w:rsid w:val="00E45E58"/>
    <w:rsid w:val="00E46A42"/>
    <w:rsid w:val="00E5186A"/>
    <w:rsid w:val="00E658F5"/>
    <w:rsid w:val="00E67C68"/>
    <w:rsid w:val="00E71FF0"/>
    <w:rsid w:val="00E729C1"/>
    <w:rsid w:val="00E82A58"/>
    <w:rsid w:val="00E86BE8"/>
    <w:rsid w:val="00EC07EE"/>
    <w:rsid w:val="00EC4BAB"/>
    <w:rsid w:val="00ED5288"/>
    <w:rsid w:val="00EE1E9E"/>
    <w:rsid w:val="00EE5BE6"/>
    <w:rsid w:val="00EF0BBC"/>
    <w:rsid w:val="00EF1752"/>
    <w:rsid w:val="00EF2720"/>
    <w:rsid w:val="00EF324B"/>
    <w:rsid w:val="00F03405"/>
    <w:rsid w:val="00F0350C"/>
    <w:rsid w:val="00F07277"/>
    <w:rsid w:val="00F53E2A"/>
    <w:rsid w:val="00F62576"/>
    <w:rsid w:val="00F62B37"/>
    <w:rsid w:val="00F63465"/>
    <w:rsid w:val="00F71C86"/>
    <w:rsid w:val="00F77398"/>
    <w:rsid w:val="00F82195"/>
    <w:rsid w:val="00F82886"/>
    <w:rsid w:val="00F85580"/>
    <w:rsid w:val="00F96EE8"/>
    <w:rsid w:val="00FB1E5E"/>
    <w:rsid w:val="00FB4A9C"/>
    <w:rsid w:val="00FB6CE3"/>
    <w:rsid w:val="00FB72FD"/>
    <w:rsid w:val="00FC6A23"/>
    <w:rsid w:val="00FC7C4A"/>
    <w:rsid w:val="00FD0349"/>
    <w:rsid w:val="00FD3B39"/>
    <w:rsid w:val="00FE0ED6"/>
    <w:rsid w:val="00FF05B8"/>
    <w:rsid w:val="00FF168A"/>
    <w:rsid w:val="00FF7AA1"/>
    <w:rsid w:val="10EEE91A"/>
    <w:rsid w:val="19BBB3FD"/>
    <w:rsid w:val="1C36AFDA"/>
    <w:rsid w:val="2AF4BF09"/>
    <w:rsid w:val="325A93E6"/>
    <w:rsid w:val="33F66447"/>
    <w:rsid w:val="37150D68"/>
    <w:rsid w:val="382A1A29"/>
    <w:rsid w:val="40DCD4D5"/>
    <w:rsid w:val="4367C4F2"/>
    <w:rsid w:val="45B045F8"/>
    <w:rsid w:val="4A83B71B"/>
    <w:rsid w:val="4B139946"/>
    <w:rsid w:val="4B2E5ABA"/>
    <w:rsid w:val="55F10964"/>
    <w:rsid w:val="562087E7"/>
    <w:rsid w:val="582C682A"/>
    <w:rsid w:val="587842D6"/>
    <w:rsid w:val="60480045"/>
    <w:rsid w:val="62271B96"/>
    <w:rsid w:val="63CEAD4D"/>
    <w:rsid w:val="70415BB2"/>
    <w:rsid w:val="747045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3B96"/>
  <w15:docId w15:val="{468D0B63-D505-42A2-9EBB-D059D622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49D"/>
  </w:style>
  <w:style w:type="paragraph" w:styleId="Heading1">
    <w:name w:val="heading 1"/>
    <w:basedOn w:val="Normal"/>
    <w:next w:val="Normal"/>
    <w:link w:val="Heading1Char"/>
    <w:uiPriority w:val="9"/>
    <w:qFormat/>
    <w:rsid w:val="007B74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05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02"/>
  </w:style>
  <w:style w:type="paragraph" w:styleId="Footer">
    <w:name w:val="footer"/>
    <w:basedOn w:val="Normal"/>
    <w:link w:val="FooterChar"/>
    <w:uiPriority w:val="99"/>
    <w:unhideWhenUsed/>
    <w:rsid w:val="00D52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02"/>
  </w:style>
  <w:style w:type="paragraph" w:styleId="BodyText">
    <w:name w:val="Body Text"/>
    <w:basedOn w:val="Normal"/>
    <w:link w:val="BodyTextChar"/>
    <w:uiPriority w:val="1"/>
    <w:qFormat/>
    <w:rsid w:val="00D52C02"/>
    <w:pPr>
      <w:autoSpaceDE w:val="0"/>
      <w:autoSpaceDN w:val="0"/>
      <w:adjustRightInd w:val="0"/>
      <w:spacing w:after="0" w:line="240" w:lineRule="auto"/>
      <w:ind w:left="112" w:right="105"/>
    </w:pPr>
    <w:rPr>
      <w:rFonts w:ascii="Calibri" w:hAnsi="Calibri" w:cs="Calibri"/>
    </w:rPr>
  </w:style>
  <w:style w:type="character" w:customStyle="1" w:styleId="BodyTextChar">
    <w:name w:val="Body Text Char"/>
    <w:basedOn w:val="DefaultParagraphFont"/>
    <w:link w:val="BodyText"/>
    <w:uiPriority w:val="1"/>
    <w:rsid w:val="00D52C02"/>
    <w:rPr>
      <w:rFonts w:ascii="Calibri" w:hAnsi="Calibri" w:cs="Calibri"/>
    </w:rPr>
  </w:style>
  <w:style w:type="character" w:styleId="Hyperlink">
    <w:name w:val="Hyperlink"/>
    <w:basedOn w:val="DefaultParagraphFont"/>
    <w:uiPriority w:val="99"/>
    <w:unhideWhenUsed/>
    <w:rsid w:val="00896C90"/>
    <w:rPr>
      <w:color w:val="0563C1" w:themeColor="hyperlink"/>
      <w:u w:val="single"/>
    </w:rPr>
  </w:style>
  <w:style w:type="paragraph" w:customStyle="1" w:styleId="Default">
    <w:name w:val="Default"/>
    <w:rsid w:val="009E27D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37D8"/>
    <w:pPr>
      <w:ind w:left="720"/>
      <w:contextualSpacing/>
    </w:pPr>
  </w:style>
  <w:style w:type="paragraph" w:styleId="BalloonText">
    <w:name w:val="Balloon Text"/>
    <w:basedOn w:val="Normal"/>
    <w:link w:val="BalloonTextChar"/>
    <w:uiPriority w:val="99"/>
    <w:semiHidden/>
    <w:unhideWhenUsed/>
    <w:rsid w:val="008A4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C60"/>
    <w:rPr>
      <w:rFonts w:ascii="Segoe UI" w:hAnsi="Segoe UI" w:cs="Segoe UI"/>
      <w:sz w:val="18"/>
      <w:szCs w:val="18"/>
    </w:rPr>
  </w:style>
  <w:style w:type="character" w:styleId="CommentReference">
    <w:name w:val="annotation reference"/>
    <w:basedOn w:val="DefaultParagraphFont"/>
    <w:uiPriority w:val="99"/>
    <w:unhideWhenUsed/>
    <w:rsid w:val="008A4C60"/>
    <w:rPr>
      <w:sz w:val="16"/>
      <w:szCs w:val="16"/>
    </w:rPr>
  </w:style>
  <w:style w:type="paragraph" w:styleId="CommentText">
    <w:name w:val="annotation text"/>
    <w:basedOn w:val="Normal"/>
    <w:link w:val="CommentTextChar"/>
    <w:unhideWhenUsed/>
    <w:rsid w:val="008A4C60"/>
    <w:pPr>
      <w:spacing w:line="240" w:lineRule="auto"/>
    </w:pPr>
    <w:rPr>
      <w:sz w:val="20"/>
      <w:szCs w:val="20"/>
    </w:rPr>
  </w:style>
  <w:style w:type="character" w:customStyle="1" w:styleId="CommentTextChar">
    <w:name w:val="Comment Text Char"/>
    <w:basedOn w:val="DefaultParagraphFont"/>
    <w:link w:val="CommentText"/>
    <w:rsid w:val="008A4C60"/>
    <w:rPr>
      <w:sz w:val="20"/>
      <w:szCs w:val="20"/>
    </w:rPr>
  </w:style>
  <w:style w:type="paragraph" w:styleId="CommentSubject">
    <w:name w:val="annotation subject"/>
    <w:basedOn w:val="CommentText"/>
    <w:next w:val="CommentText"/>
    <w:link w:val="CommentSubjectChar"/>
    <w:uiPriority w:val="99"/>
    <w:semiHidden/>
    <w:unhideWhenUsed/>
    <w:rsid w:val="008A4C60"/>
    <w:rPr>
      <w:b/>
      <w:bCs/>
    </w:rPr>
  </w:style>
  <w:style w:type="character" w:customStyle="1" w:styleId="CommentSubjectChar">
    <w:name w:val="Comment Subject Char"/>
    <w:basedOn w:val="CommentTextChar"/>
    <w:link w:val="CommentSubject"/>
    <w:uiPriority w:val="99"/>
    <w:semiHidden/>
    <w:rsid w:val="008A4C60"/>
    <w:rPr>
      <w:b/>
      <w:bCs/>
      <w:sz w:val="20"/>
      <w:szCs w:val="20"/>
    </w:rPr>
  </w:style>
  <w:style w:type="table" w:styleId="TableGrid">
    <w:name w:val="Table Grid"/>
    <w:basedOn w:val="TableNormal"/>
    <w:uiPriority w:val="39"/>
    <w:rsid w:val="00A6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771A"/>
    <w:rPr>
      <w:color w:val="954F72" w:themeColor="followedHyperlink"/>
      <w:u w:val="single"/>
    </w:rPr>
  </w:style>
  <w:style w:type="character" w:customStyle="1" w:styleId="Heading2Char">
    <w:name w:val="Heading 2 Char"/>
    <w:basedOn w:val="DefaultParagraphFont"/>
    <w:link w:val="Heading2"/>
    <w:uiPriority w:val="9"/>
    <w:rsid w:val="00FF05B8"/>
    <w:rPr>
      <w:rFonts w:asciiTheme="majorHAnsi" w:eastAsiaTheme="majorEastAsia" w:hAnsiTheme="majorHAnsi" w:cstheme="majorBidi"/>
      <w:color w:val="2E74B5" w:themeColor="accent1" w:themeShade="BF"/>
      <w:sz w:val="26"/>
      <w:szCs w:val="26"/>
    </w:rPr>
  </w:style>
  <w:style w:type="paragraph" w:customStyle="1" w:styleId="11111RulesHeading5">
    <w:name w:val="1.1.1.1.1 Rules Heading 5"/>
    <w:basedOn w:val="Normal"/>
    <w:link w:val="11111RulesHeading5Char"/>
    <w:autoRedefine/>
    <w:qFormat/>
    <w:rsid w:val="002A4115"/>
    <w:pPr>
      <w:numPr>
        <w:numId w:val="23"/>
      </w:numPr>
      <w:spacing w:after="120"/>
      <w:jc w:val="both"/>
      <w:outlineLvl w:val="0"/>
    </w:pPr>
    <w:rPr>
      <w:rFonts w:ascii="Arial" w:eastAsia="Calibri" w:hAnsi="Arial" w:cs="Arial"/>
      <w:bCs/>
      <w:kern w:val="32"/>
      <w:sz w:val="20"/>
      <w:lang w:val="en-GB"/>
    </w:rPr>
  </w:style>
  <w:style w:type="character" w:customStyle="1" w:styleId="11111RulesHeading5Char">
    <w:name w:val="1.1.1.1.1 Rules Heading 5 Char"/>
    <w:basedOn w:val="DefaultParagraphFont"/>
    <w:link w:val="11111RulesHeading5"/>
    <w:rsid w:val="002A4115"/>
    <w:rPr>
      <w:rFonts w:ascii="Arial" w:eastAsia="Calibri" w:hAnsi="Arial" w:cs="Arial"/>
      <w:bCs/>
      <w:kern w:val="32"/>
      <w:sz w:val="20"/>
      <w:lang w:val="en-GB"/>
    </w:rPr>
  </w:style>
  <w:style w:type="character" w:styleId="UnresolvedMention">
    <w:name w:val="Unresolved Mention"/>
    <w:basedOn w:val="DefaultParagraphFont"/>
    <w:uiPriority w:val="99"/>
    <w:semiHidden/>
    <w:unhideWhenUsed/>
    <w:rsid w:val="000D126D"/>
    <w:rPr>
      <w:color w:val="605E5C"/>
      <w:shd w:val="clear" w:color="auto" w:fill="E1DFDD"/>
    </w:rPr>
  </w:style>
  <w:style w:type="paragraph" w:styleId="Revision">
    <w:name w:val="Revision"/>
    <w:hidden/>
    <w:uiPriority w:val="99"/>
    <w:semiHidden/>
    <w:rsid w:val="005571BB"/>
    <w:pPr>
      <w:spacing w:after="0" w:line="240" w:lineRule="auto"/>
    </w:pPr>
  </w:style>
  <w:style w:type="paragraph" w:customStyle="1" w:styleId="heading3policy">
    <w:name w:val="heading 3 policy"/>
    <w:basedOn w:val="Heading1"/>
    <w:link w:val="heading3policyChar"/>
    <w:qFormat/>
    <w:rsid w:val="007B74F2"/>
    <w:pPr>
      <w:keepNext w:val="0"/>
      <w:keepLines w:val="0"/>
      <w:tabs>
        <w:tab w:val="center" w:pos="4320"/>
        <w:tab w:val="right" w:pos="8640"/>
      </w:tabs>
      <w:autoSpaceDE w:val="0"/>
      <w:autoSpaceDN w:val="0"/>
      <w:adjustRightInd w:val="0"/>
      <w:spacing w:before="120" w:after="120" w:line="276" w:lineRule="auto"/>
      <w:jc w:val="both"/>
    </w:pPr>
    <w:rPr>
      <w:rFonts w:ascii="Arial" w:eastAsia="Calibri" w:hAnsi="Arial" w:cs="Arial"/>
      <w:bCs/>
      <w:color w:val="auto"/>
      <w:kern w:val="32"/>
      <w:sz w:val="22"/>
      <w:szCs w:val="22"/>
    </w:rPr>
  </w:style>
  <w:style w:type="character" w:customStyle="1" w:styleId="heading3policyChar">
    <w:name w:val="heading 3 policy Char"/>
    <w:basedOn w:val="DefaultParagraphFont"/>
    <w:link w:val="heading3policy"/>
    <w:rsid w:val="007B74F2"/>
    <w:rPr>
      <w:rFonts w:ascii="Arial" w:eastAsia="Calibri" w:hAnsi="Arial" w:cs="Arial"/>
      <w:bCs/>
      <w:kern w:val="32"/>
    </w:rPr>
  </w:style>
  <w:style w:type="character" w:customStyle="1" w:styleId="Heading1Char">
    <w:name w:val="Heading 1 Char"/>
    <w:basedOn w:val="DefaultParagraphFont"/>
    <w:link w:val="Heading1"/>
    <w:uiPriority w:val="9"/>
    <w:rsid w:val="007B74F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1C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CA8"/>
    <w:rPr>
      <w:sz w:val="20"/>
      <w:szCs w:val="20"/>
    </w:rPr>
  </w:style>
  <w:style w:type="character" w:styleId="FootnoteReference">
    <w:name w:val="footnote reference"/>
    <w:basedOn w:val="DefaultParagraphFont"/>
    <w:uiPriority w:val="99"/>
    <w:semiHidden/>
    <w:unhideWhenUsed/>
    <w:rsid w:val="009C1CA8"/>
    <w:rPr>
      <w:vertAlign w:val="superscript"/>
    </w:rPr>
  </w:style>
  <w:style w:type="character" w:customStyle="1" w:styleId="normaltextrun">
    <w:name w:val="normaltextrun"/>
    <w:basedOn w:val="DefaultParagraphFont"/>
    <w:rsid w:val="003C3E4F"/>
  </w:style>
  <w:style w:type="paragraph" w:customStyle="1" w:styleId="paragraph">
    <w:name w:val="paragraph"/>
    <w:basedOn w:val="Normal"/>
    <w:rsid w:val="003C3E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C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271810188FD34C8107E17D1BA16FC4" ma:contentTypeVersion="37" ma:contentTypeDescription="Create a new document." ma:contentTypeScope="" ma:versionID="fd1b9816c549ac7761a9c463ad13f4cd">
  <xsd:schema xmlns:xsd="http://www.w3.org/2001/XMLSchema" xmlns:xs="http://www.w3.org/2001/XMLSchema" xmlns:p="http://schemas.microsoft.com/office/2006/metadata/properties" xmlns:ns2="78cd0e0b-5355-4973-b934-ab32a1f14680" xmlns:ns3="763a2d85-f048-4160-9b33-64c03c986dba" targetNamespace="http://schemas.microsoft.com/office/2006/metadata/properties" ma:root="true" ma:fieldsID="b6c8a88142b4e5e539e73ab7ecb20860" ns2:_="" ns3:_="">
    <xsd:import namespace="78cd0e0b-5355-4973-b934-ab32a1f14680"/>
    <xsd:import namespace="763a2d85-f048-4160-9b33-64c03c986db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d0e0b-5355-4973-b934-ab32a1f1468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a2d85-f048-4160-9b33-64c03c986dba"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54008cef-d019-4117-92f1-c3bfba18ba18}" ma:internalName="TaxCatchAll" ma:showField="CatchAllData" ma:web="763a2d85-f048-4160-9b33-64c03c986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s xmlns="78cd0e0b-5355-4973-b934-ab32a1f14680" xsi:nil="true"/>
    <Members xmlns="78cd0e0b-5355-4973-b934-ab32a1f14680">
      <UserInfo>
        <DisplayName/>
        <AccountId xsi:nil="true"/>
        <AccountType/>
      </UserInfo>
    </Members>
    <FolderType xmlns="78cd0e0b-5355-4973-b934-ab32a1f14680" xsi:nil="true"/>
    <IsNotebookLocked xmlns="78cd0e0b-5355-4973-b934-ab32a1f14680" xsi:nil="true"/>
    <Invited_Members xmlns="78cd0e0b-5355-4973-b934-ab32a1f14680" xsi:nil="true"/>
    <Member_Groups xmlns="78cd0e0b-5355-4973-b934-ab32a1f14680">
      <UserInfo>
        <DisplayName/>
        <AccountId xsi:nil="true"/>
        <AccountType/>
      </UserInfo>
    </Member_Groups>
    <CultureName xmlns="78cd0e0b-5355-4973-b934-ab32a1f14680" xsi:nil="true"/>
    <Owner xmlns="78cd0e0b-5355-4973-b934-ab32a1f14680">
      <UserInfo>
        <DisplayName/>
        <AccountId xsi:nil="true"/>
        <AccountType/>
      </UserInfo>
    </Owner>
    <Leaders xmlns="78cd0e0b-5355-4973-b934-ab32a1f14680">
      <UserInfo>
        <DisplayName/>
        <AccountId xsi:nil="true"/>
        <AccountType/>
      </UserInfo>
    </Leaders>
    <NotebookType xmlns="78cd0e0b-5355-4973-b934-ab32a1f14680" xsi:nil="true"/>
    <LMS_Mappings xmlns="78cd0e0b-5355-4973-b934-ab32a1f14680" xsi:nil="true"/>
    <DefaultSectionNames xmlns="78cd0e0b-5355-4973-b934-ab32a1f14680" xsi:nil="true"/>
    <Is_Collaboration_Space_Locked xmlns="78cd0e0b-5355-4973-b934-ab32a1f14680" xsi:nil="true"/>
    <Has_Leaders_Only_SectionGroup xmlns="78cd0e0b-5355-4973-b934-ab32a1f14680" xsi:nil="true"/>
    <Invited_Leaders xmlns="78cd0e0b-5355-4973-b934-ab32a1f14680" xsi:nil="true"/>
    <Math_Settings xmlns="78cd0e0b-5355-4973-b934-ab32a1f14680" xsi:nil="true"/>
    <Self_Registration_Enabled xmlns="78cd0e0b-5355-4973-b934-ab32a1f14680" xsi:nil="true"/>
    <Distribution_Groups xmlns="78cd0e0b-5355-4973-b934-ab32a1f14680" xsi:nil="true"/>
    <AppVersion xmlns="78cd0e0b-5355-4973-b934-ab32a1f14680" xsi:nil="true"/>
    <TeamsChannelId xmlns="78cd0e0b-5355-4973-b934-ab32a1f14680" xsi:nil="true"/>
    <SharedWithUsers xmlns="763a2d85-f048-4160-9b33-64c03c986dba">
      <UserInfo>
        <DisplayName>Arshad OMARI</DisplayName>
        <AccountId>27</AccountId>
        <AccountType/>
      </UserInfo>
    </SharedWithUsers>
    <lcf76f155ced4ddcb4097134ff3c332f xmlns="78cd0e0b-5355-4973-b934-ab32a1f14680">
      <Terms xmlns="http://schemas.microsoft.com/office/infopath/2007/PartnerControls"/>
    </lcf76f155ced4ddcb4097134ff3c332f>
    <TaxCatchAll xmlns="763a2d85-f048-4160-9b33-64c03c986dba" xsi:nil="true"/>
  </documentManagement>
</p:properties>
</file>

<file path=customXml/itemProps1.xml><?xml version="1.0" encoding="utf-8"?>
<ds:datastoreItem xmlns:ds="http://schemas.openxmlformats.org/officeDocument/2006/customXml" ds:itemID="{3F4D7C27-6394-4403-99BC-839B0C67E3C6}">
  <ds:schemaRefs>
    <ds:schemaRef ds:uri="http://schemas.microsoft.com/sharepoint/v3/contenttype/forms"/>
  </ds:schemaRefs>
</ds:datastoreItem>
</file>

<file path=customXml/itemProps2.xml><?xml version="1.0" encoding="utf-8"?>
<ds:datastoreItem xmlns:ds="http://schemas.openxmlformats.org/officeDocument/2006/customXml" ds:itemID="{858D2BB3-AD64-481C-8626-E843E35DF4A0}">
  <ds:schemaRefs>
    <ds:schemaRef ds:uri="http://schemas.openxmlformats.org/officeDocument/2006/bibliography"/>
  </ds:schemaRefs>
</ds:datastoreItem>
</file>

<file path=customXml/itemProps3.xml><?xml version="1.0" encoding="utf-8"?>
<ds:datastoreItem xmlns:ds="http://schemas.openxmlformats.org/officeDocument/2006/customXml" ds:itemID="{5F46DD89-2275-4A85-B1EE-CC821A68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d0e0b-5355-4973-b934-ab32a1f14680"/>
    <ds:schemaRef ds:uri="763a2d85-f048-4160-9b33-64c03c986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A5A80-59D4-4971-8CF7-264A1EBEE91D}">
  <ds:schemaRefs>
    <ds:schemaRef ds:uri="http://schemas.microsoft.com/office/2006/metadata/properties"/>
    <ds:schemaRef ds:uri="http://schemas.microsoft.com/office/infopath/2007/PartnerControls"/>
    <ds:schemaRef ds:uri="78cd0e0b-5355-4973-b934-ab32a1f14680"/>
    <ds:schemaRef ds:uri="763a2d85-f048-4160-9b33-64c03c986db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JONES</dc:creator>
  <cp:keywords/>
  <cp:lastModifiedBy>Claire CORBOULD</cp:lastModifiedBy>
  <cp:revision>211</cp:revision>
  <cp:lastPrinted>2019-08-25T16:14:00Z</cp:lastPrinted>
  <dcterms:created xsi:type="dcterms:W3CDTF">2023-01-22T12:37:00Z</dcterms:created>
  <dcterms:modified xsi:type="dcterms:W3CDTF">2023-02-06T02:20:00Z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0x0101006E271810188FD34C8107E17D1BA16FC4</vt:lpwstr>
  </property>
  <property fmtid="{D5CDD505-2E9C-101B-9397-08002B2CF9AE}" pid="3" name="MediaServiceImageTags">
    <vt:lpwstr/>
  </property>
</Properties>
</file>